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96805342"/>
        <w:docPartObj>
          <w:docPartGallery w:val="Cover Pages"/>
          <w:docPartUnique/>
        </w:docPartObj>
      </w:sdtPr>
      <w:sdtEndPr>
        <w:rPr>
          <w:rFonts w:ascii="Times New Roman"/>
          <w:bCs/>
          <w:sz w:val="20"/>
          <w:szCs w:val="134"/>
        </w:rPr>
      </w:sdtEndPr>
      <w:sdtContent>
        <w:p w14:paraId="25FCC520" w14:textId="3AC7D79C" w:rsidR="000906D7" w:rsidRDefault="00843820">
          <w:r>
            <w:rPr>
              <w:noProof/>
            </w:rPr>
            <w:drawing>
              <wp:anchor distT="0" distB="0" distL="114300" distR="114300" simplePos="0" relativeHeight="251663360" behindDoc="1" locked="0" layoutInCell="1" allowOverlap="1" wp14:anchorId="07D7BEE3" wp14:editId="1FA759A2">
                <wp:simplePos x="0" y="0"/>
                <wp:positionH relativeFrom="page">
                  <wp:align>left</wp:align>
                </wp:positionH>
                <wp:positionV relativeFrom="margin">
                  <wp:align>top</wp:align>
                </wp:positionV>
                <wp:extent cx="7534799" cy="10662691"/>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9">
                          <a:extLst>
                            <a:ext uri="{28A0092B-C50C-407E-A947-70E740481C1C}">
                              <a14:useLocalDpi xmlns:a14="http://schemas.microsoft.com/office/drawing/2010/main" val="0"/>
                            </a:ext>
                          </a:extLst>
                        </a:blip>
                        <a:stretch>
                          <a:fillRect/>
                        </a:stretch>
                      </pic:blipFill>
                      <pic:spPr>
                        <a:xfrm>
                          <a:off x="0" y="0"/>
                          <a:ext cx="7534799" cy="10662691"/>
                        </a:xfrm>
                        <a:prstGeom prst="rect">
                          <a:avLst/>
                        </a:prstGeom>
                      </pic:spPr>
                    </pic:pic>
                  </a:graphicData>
                </a:graphic>
                <wp14:sizeRelH relativeFrom="margin">
                  <wp14:pctWidth>0</wp14:pctWidth>
                </wp14:sizeRelH>
                <wp14:sizeRelV relativeFrom="margin">
                  <wp14:pctHeight>0</wp14:pctHeight>
                </wp14:sizeRelV>
              </wp:anchor>
            </w:drawing>
          </w:r>
        </w:p>
        <w:p w14:paraId="01332E6C" w14:textId="77777777" w:rsidR="00843820" w:rsidRDefault="0064284F" w:rsidP="00843820">
          <w:pPr>
            <w:rPr>
              <w:rFonts w:ascii="Times New Roman"/>
              <w:bCs/>
              <w:sz w:val="20"/>
              <w:szCs w:val="134"/>
            </w:rPr>
          </w:pPr>
          <w:r w:rsidRPr="00907966">
            <w:rPr>
              <w:b/>
              <w:noProof/>
              <w:sz w:val="28"/>
              <w:szCs w:val="28"/>
            </w:rPr>
            <mc:AlternateContent>
              <mc:Choice Requires="wps">
                <w:drawing>
                  <wp:anchor distT="0" distB="0" distL="114300" distR="114300" simplePos="0" relativeHeight="251661312" behindDoc="0" locked="0" layoutInCell="1" allowOverlap="1" wp14:anchorId="4A593C94" wp14:editId="6FBBAEE0">
                    <wp:simplePos x="0" y="0"/>
                    <wp:positionH relativeFrom="margin">
                      <wp:posOffset>2320506</wp:posOffset>
                    </wp:positionH>
                    <wp:positionV relativeFrom="page">
                      <wp:posOffset>3280386</wp:posOffset>
                    </wp:positionV>
                    <wp:extent cx="3931200" cy="1854679"/>
                    <wp:effectExtent l="0" t="0" r="0" b="0"/>
                    <wp:wrapNone/>
                    <wp:docPr id="2" name="Text Box 2"/>
                    <wp:cNvGraphicFramePr/>
                    <a:graphic xmlns:a="http://schemas.openxmlformats.org/drawingml/2006/main">
                      <a:graphicData uri="http://schemas.microsoft.com/office/word/2010/wordprocessingShape">
                        <wps:wsp>
                          <wps:cNvSpPr txBox="1"/>
                          <wps:spPr>
                            <a:xfrm>
                              <a:off x="0" y="0"/>
                              <a:ext cx="3931200" cy="1854679"/>
                            </a:xfrm>
                            <a:prstGeom prst="rect">
                              <a:avLst/>
                            </a:prstGeom>
                            <a:noFill/>
                            <a:ln w="6350">
                              <a:noFill/>
                            </a:ln>
                          </wps:spPr>
                          <wps:txbx>
                            <w:txbxContent>
                              <w:p w14:paraId="7DC6F735" w14:textId="3AB56DEE" w:rsidR="0064284F" w:rsidRPr="000C4C2C" w:rsidRDefault="00843820" w:rsidP="0064284F">
                                <w:pPr>
                                  <w:rPr>
                                    <w:rFonts w:ascii="Verdana" w:hAnsi="Verdana"/>
                                    <w:b/>
                                    <w:sz w:val="44"/>
                                    <w:szCs w:val="44"/>
                                  </w:rPr>
                                </w:pPr>
                                <w:r>
                                  <w:rPr>
                                    <w:rFonts w:ascii="Verdana" w:hAnsi="Verdana"/>
                                    <w:b/>
                                    <w:sz w:val="44"/>
                                    <w:szCs w:val="44"/>
                                  </w:rPr>
                                  <w:t xml:space="preserve">Construction of the </w:t>
                                </w:r>
                                <w:r w:rsidR="0064284F" w:rsidRPr="000C4C2C">
                                  <w:rPr>
                                    <w:rFonts w:ascii="Verdana" w:hAnsi="Verdana"/>
                                    <w:b/>
                                    <w:sz w:val="44"/>
                                    <w:szCs w:val="44"/>
                                  </w:rPr>
                                  <w:t>External Assessment Timetable</w:t>
                                </w:r>
                                <w:r w:rsidR="0064284F">
                                  <w:rPr>
                                    <w:rFonts w:ascii="Verdana" w:hAnsi="Verdana"/>
                                    <w:b/>
                                    <w:sz w:val="44"/>
                                    <w:szCs w:val="44"/>
                                  </w:rPr>
                                  <w:t xml:space="preserve"> –</w:t>
                                </w:r>
                                <w:r>
                                  <w:rPr>
                                    <w:rFonts w:ascii="Verdana" w:hAnsi="Verdana"/>
                                    <w:b/>
                                    <w:sz w:val="44"/>
                                    <w:szCs w:val="44"/>
                                  </w:rPr>
                                  <w:t xml:space="preserve"> </w:t>
                                </w:r>
                                <w:r w:rsidR="0064284F">
                                  <w:rPr>
                                    <w:rFonts w:ascii="Verdana" w:hAnsi="Verdana"/>
                                    <w:b/>
                                    <w:sz w:val="44"/>
                                    <w:szCs w:val="44"/>
                                  </w:rPr>
                                  <w:t>202</w:t>
                                </w:r>
                                <w:r w:rsidR="00CA292D">
                                  <w:rPr>
                                    <w:rFonts w:ascii="Verdana" w:hAnsi="Verdana"/>
                                    <w:b/>
                                    <w:sz w:val="44"/>
                                    <w:szCs w:val="44"/>
                                  </w:rPr>
                                  <w:t>2</w:t>
                                </w:r>
                                <w:r w:rsidR="0064284F">
                                  <w:rPr>
                                    <w:rFonts w:ascii="Verdana" w:hAnsi="Verdana"/>
                                    <w:b/>
                                    <w:sz w:val="44"/>
                                    <w:szCs w:val="44"/>
                                  </w:rPr>
                                  <w:t>/2</w:t>
                                </w:r>
                                <w:r w:rsidR="00CA292D">
                                  <w:rPr>
                                    <w:rFonts w:ascii="Verdana" w:hAnsi="Verdana"/>
                                    <w:b/>
                                    <w:sz w:val="44"/>
                                    <w:szCs w:val="44"/>
                                  </w:rPr>
                                  <w:t>3</w:t>
                                </w:r>
                                <w:r w:rsidR="007566C4">
                                  <w:rPr>
                                    <w:rFonts w:ascii="Verdana" w:hAnsi="Verdana"/>
                                    <w:b/>
                                    <w:sz w:val="44"/>
                                    <w:szCs w:val="44"/>
                                  </w:rPr>
                                  <w:t xml:space="preserve"> and 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93C94" id="_x0000_t202" coordsize="21600,21600" o:spt="202" path="m,l,21600r21600,l21600,xe">
                    <v:stroke joinstyle="miter"/>
                    <v:path gradientshapeok="t" o:connecttype="rect"/>
                  </v:shapetype>
                  <v:shape id="Text Box 2" o:spid="_x0000_s1026" type="#_x0000_t202" style="position:absolute;margin-left:182.7pt;margin-top:258.3pt;width:309.55pt;height:14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" filled="f" stroked="f" strokeweight=".5pt">
                    <v:textbox>
                      <w:txbxContent>
                        <w:p w14:paraId="7DC6F735" w14:textId="3AB56DEE" w:rsidR="0064284F" w:rsidRPr="000C4C2C" w:rsidRDefault="00843820" w:rsidP="0064284F">
                          <w:pPr>
                            <w:rPr>
                              <w:rFonts w:ascii="Verdana" w:hAnsi="Verdana"/>
                              <w:b/>
                              <w:sz w:val="44"/>
                              <w:szCs w:val="44"/>
                            </w:rPr>
                          </w:pPr>
                          <w:r>
                            <w:rPr>
                              <w:rFonts w:ascii="Verdana" w:hAnsi="Verdana"/>
                              <w:b/>
                              <w:sz w:val="44"/>
                              <w:szCs w:val="44"/>
                            </w:rPr>
                            <w:t xml:space="preserve">Construction of the </w:t>
                          </w:r>
                          <w:r w:rsidR="0064284F" w:rsidRPr="000C4C2C">
                            <w:rPr>
                              <w:rFonts w:ascii="Verdana" w:hAnsi="Verdana"/>
                              <w:b/>
                              <w:sz w:val="44"/>
                              <w:szCs w:val="44"/>
                            </w:rPr>
                            <w:t>External Assessment Timetable</w:t>
                          </w:r>
                          <w:r w:rsidR="0064284F">
                            <w:rPr>
                              <w:rFonts w:ascii="Verdana" w:hAnsi="Verdana"/>
                              <w:b/>
                              <w:sz w:val="44"/>
                              <w:szCs w:val="44"/>
                            </w:rPr>
                            <w:t xml:space="preserve"> –</w:t>
                          </w:r>
                          <w:r>
                            <w:rPr>
                              <w:rFonts w:ascii="Verdana" w:hAnsi="Verdana"/>
                              <w:b/>
                              <w:sz w:val="44"/>
                              <w:szCs w:val="44"/>
                            </w:rPr>
                            <w:t xml:space="preserve"> </w:t>
                          </w:r>
                          <w:r w:rsidR="0064284F">
                            <w:rPr>
                              <w:rFonts w:ascii="Verdana" w:hAnsi="Verdana"/>
                              <w:b/>
                              <w:sz w:val="44"/>
                              <w:szCs w:val="44"/>
                            </w:rPr>
                            <w:t>202</w:t>
                          </w:r>
                          <w:r w:rsidR="00CA292D">
                            <w:rPr>
                              <w:rFonts w:ascii="Verdana" w:hAnsi="Verdana"/>
                              <w:b/>
                              <w:sz w:val="44"/>
                              <w:szCs w:val="44"/>
                            </w:rPr>
                            <w:t>2</w:t>
                          </w:r>
                          <w:r w:rsidR="0064284F">
                            <w:rPr>
                              <w:rFonts w:ascii="Verdana" w:hAnsi="Verdana"/>
                              <w:b/>
                              <w:sz w:val="44"/>
                              <w:szCs w:val="44"/>
                            </w:rPr>
                            <w:t>/2</w:t>
                          </w:r>
                          <w:r w:rsidR="00CA292D">
                            <w:rPr>
                              <w:rFonts w:ascii="Verdana" w:hAnsi="Verdana"/>
                              <w:b/>
                              <w:sz w:val="44"/>
                              <w:szCs w:val="44"/>
                            </w:rPr>
                            <w:t>3</w:t>
                          </w:r>
                          <w:r w:rsidR="007566C4">
                            <w:rPr>
                              <w:rFonts w:ascii="Verdana" w:hAnsi="Verdana"/>
                              <w:b/>
                              <w:sz w:val="44"/>
                              <w:szCs w:val="44"/>
                            </w:rPr>
                            <w:t xml:space="preserve"> and 2023/24</w:t>
                          </w:r>
                        </w:p>
                      </w:txbxContent>
                    </v:textbox>
                    <w10:wrap anchorx="margin" anchory="page"/>
                  </v:shape>
                </w:pict>
              </mc:Fallback>
            </mc:AlternateContent>
          </w:r>
          <w:r w:rsidR="00172D54">
            <w:rPr>
              <w:rFonts w:ascii="Times New Roman"/>
              <w:b/>
              <w:noProof/>
              <w:sz w:val="20"/>
              <w:lang w:bidi="ar-SA"/>
            </w:rPr>
            <mc:AlternateContent>
              <mc:Choice Requires="wps">
                <w:drawing>
                  <wp:anchor distT="0" distB="0" distL="114300" distR="114300" simplePos="0" relativeHeight="251659264" behindDoc="0" locked="0" layoutInCell="1" allowOverlap="1" wp14:anchorId="7E9D25FE" wp14:editId="499E10A4">
                    <wp:simplePos x="0" y="0"/>
                    <wp:positionH relativeFrom="column">
                      <wp:posOffset>206375</wp:posOffset>
                    </wp:positionH>
                    <wp:positionV relativeFrom="paragraph">
                      <wp:posOffset>2788920</wp:posOffset>
                    </wp:positionV>
                    <wp:extent cx="6210935" cy="54387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210935" cy="543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A0531E" w14:textId="7B071E4B" w:rsidR="00172D54" w:rsidRPr="000440A3" w:rsidRDefault="00172D54">
                                <w:pPr>
                                  <w:rPr>
                                    <w:b/>
                                    <w:bCs/>
                                    <w:color w:val="FFFFFF" w:themeColor="background1"/>
                                    <w:sz w:val="96"/>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D25FE" id="Text Box 4" o:spid="_x0000_s1027" type="#_x0000_t202" style="position:absolute;margin-left:16.25pt;margin-top:219.6pt;width:489.05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" filled="f" stroked="f">
                    <v:textbox>
                      <w:txbxContent>
                        <w:p w14:paraId="51A0531E" w14:textId="7B071E4B" w:rsidR="00172D54" w:rsidRPr="000440A3" w:rsidRDefault="00172D54">
                          <w:pPr>
                            <w:rPr>
                              <w:b/>
                              <w:bCs/>
                              <w:color w:val="FFFFFF" w:themeColor="background1"/>
                              <w:sz w:val="96"/>
                              <w:szCs w:val="144"/>
                            </w:rPr>
                          </w:pPr>
                        </w:p>
                      </w:txbxContent>
                    </v:textbox>
                    <w10:wrap type="square"/>
                  </v:shape>
                </w:pict>
              </mc:Fallback>
            </mc:AlternateContent>
          </w:r>
          <w:r w:rsidR="000906D7">
            <w:rPr>
              <w:rFonts w:ascii="Times New Roman"/>
              <w:bCs/>
              <w:sz w:val="20"/>
              <w:szCs w:val="134"/>
            </w:rPr>
            <w:br w:type="page"/>
          </w:r>
        </w:p>
        <w:p w14:paraId="4451D92A" w14:textId="77777777" w:rsidR="00843820" w:rsidRDefault="002258B1" w:rsidP="00843820">
          <w:pPr>
            <w:rPr>
              <w:rFonts w:ascii="Times New Roman"/>
              <w:bCs/>
              <w:sz w:val="20"/>
              <w:szCs w:val="134"/>
            </w:rPr>
          </w:pPr>
        </w:p>
      </w:sdtContent>
    </w:sdt>
    <w:p w14:paraId="435BE2C9" w14:textId="77777777" w:rsidR="00797325" w:rsidRDefault="00797325" w:rsidP="00843820">
      <w:pPr>
        <w:rPr>
          <w:rFonts w:ascii="Verdana" w:hAnsi="Verdana"/>
          <w:b/>
        </w:rPr>
      </w:pPr>
    </w:p>
    <w:p w14:paraId="514AE5B8" w14:textId="50E02E45" w:rsidR="000440A3" w:rsidRPr="00843820" w:rsidRDefault="000440A3" w:rsidP="00843820">
      <w:pPr>
        <w:rPr>
          <w:rFonts w:ascii="Times New Roman"/>
          <w:bCs/>
          <w:sz w:val="20"/>
          <w:szCs w:val="134"/>
        </w:rPr>
      </w:pPr>
      <w:r w:rsidRPr="00843820">
        <w:rPr>
          <w:rFonts w:ascii="Verdana" w:hAnsi="Verdana"/>
          <w:b/>
        </w:rPr>
        <w:t>Introduction</w:t>
      </w:r>
    </w:p>
    <w:p w14:paraId="415B9D3C" w14:textId="0EFE5980" w:rsidR="000440A3" w:rsidRPr="00843820" w:rsidRDefault="000440A3" w:rsidP="000440A3">
      <w:pPr>
        <w:spacing w:before="240"/>
        <w:rPr>
          <w:rFonts w:ascii="Verdana" w:hAnsi="Verdana"/>
        </w:rPr>
      </w:pPr>
      <w:r w:rsidRPr="00843820">
        <w:rPr>
          <w:rFonts w:ascii="Verdana" w:hAnsi="Verdana"/>
        </w:rPr>
        <w:t>Each academic session we produce an updated version of the External Assessment Timetable covering all NCFE</w:t>
      </w:r>
      <w:r w:rsidR="000D7596" w:rsidRPr="00843820">
        <w:rPr>
          <w:rFonts w:ascii="Verdana" w:hAnsi="Verdana"/>
        </w:rPr>
        <w:t xml:space="preserve"> and</w:t>
      </w:r>
      <w:r w:rsidRPr="00843820">
        <w:rPr>
          <w:rFonts w:ascii="Verdana" w:hAnsi="Verdana"/>
        </w:rPr>
        <w:t xml:space="preserve"> CACHE qualifications which have set dates for external assessments, for the benefit of both learners and centres. </w:t>
      </w:r>
    </w:p>
    <w:p w14:paraId="72ABEC06" w14:textId="77777777" w:rsidR="000440A3" w:rsidRPr="00843820" w:rsidRDefault="000440A3" w:rsidP="000440A3">
      <w:pPr>
        <w:spacing w:before="240"/>
        <w:rPr>
          <w:rFonts w:ascii="Verdana" w:hAnsi="Verdana"/>
        </w:rPr>
      </w:pPr>
      <w:r w:rsidRPr="00843820">
        <w:rPr>
          <w:rFonts w:ascii="Verdana" w:hAnsi="Verdana"/>
        </w:rPr>
        <w:t xml:space="preserve">The External Assessment Timetable is constructed for each academic session (01 August – 31 July) and covers both NCFE and CACHE qualifications as detailed below: </w:t>
      </w:r>
    </w:p>
    <w:p w14:paraId="488A8B3B" w14:textId="77777777" w:rsidR="000440A3" w:rsidRPr="00843820" w:rsidRDefault="000440A3" w:rsidP="000440A3">
      <w:pPr>
        <w:spacing w:before="240"/>
        <w:rPr>
          <w:rFonts w:ascii="Verdana" w:hAnsi="Verdana"/>
        </w:rPr>
      </w:pPr>
      <w:r w:rsidRPr="00843820">
        <w:rPr>
          <w:rFonts w:ascii="Verdana" w:hAnsi="Verdana"/>
        </w:rPr>
        <w:t>Key Stage 4:</w:t>
      </w:r>
    </w:p>
    <w:p w14:paraId="060C2364" w14:textId="77777777" w:rsidR="000440A3" w:rsidRPr="00843820" w:rsidRDefault="000440A3" w:rsidP="000440A3">
      <w:pPr>
        <w:rPr>
          <w:rFonts w:ascii="Verdana" w:hAnsi="Verdana"/>
        </w:rPr>
      </w:pPr>
      <w:r w:rsidRPr="00843820">
        <w:rPr>
          <w:rFonts w:ascii="Verdana" w:hAnsi="Verdana"/>
        </w:rPr>
        <w:t xml:space="preserve">Certificates </w:t>
      </w:r>
    </w:p>
    <w:p w14:paraId="1AB65559" w14:textId="77777777" w:rsidR="000440A3" w:rsidRPr="00843820" w:rsidRDefault="000440A3" w:rsidP="000440A3">
      <w:pPr>
        <w:rPr>
          <w:rFonts w:ascii="Verdana" w:hAnsi="Verdana"/>
        </w:rPr>
      </w:pPr>
      <w:r w:rsidRPr="00843820">
        <w:rPr>
          <w:rFonts w:ascii="Verdana" w:hAnsi="Verdana"/>
        </w:rPr>
        <w:t xml:space="preserve">Technical Awards </w:t>
      </w:r>
    </w:p>
    <w:p w14:paraId="5FF4FCA4" w14:textId="77777777" w:rsidR="000440A3" w:rsidRPr="00843820" w:rsidRDefault="000440A3" w:rsidP="000440A3">
      <w:pPr>
        <w:spacing w:before="240"/>
        <w:rPr>
          <w:rFonts w:ascii="Verdana" w:hAnsi="Verdana"/>
        </w:rPr>
      </w:pPr>
      <w:r w:rsidRPr="00843820">
        <w:rPr>
          <w:rFonts w:ascii="Verdana" w:hAnsi="Verdana"/>
        </w:rPr>
        <w:t>Key Stage 5:</w:t>
      </w:r>
    </w:p>
    <w:p w14:paraId="548CFA17" w14:textId="77777777" w:rsidR="000440A3" w:rsidRPr="00843820" w:rsidRDefault="000440A3" w:rsidP="000440A3">
      <w:pPr>
        <w:rPr>
          <w:rFonts w:ascii="Verdana" w:hAnsi="Verdana"/>
        </w:rPr>
      </w:pPr>
      <w:r w:rsidRPr="00843820">
        <w:rPr>
          <w:rFonts w:ascii="Verdana" w:hAnsi="Verdana"/>
        </w:rPr>
        <w:t>Technical Levels</w:t>
      </w:r>
    </w:p>
    <w:p w14:paraId="3F632E61" w14:textId="77777777" w:rsidR="000440A3" w:rsidRPr="00843820" w:rsidRDefault="000440A3" w:rsidP="000440A3">
      <w:pPr>
        <w:rPr>
          <w:rFonts w:ascii="Verdana" w:hAnsi="Verdana"/>
        </w:rPr>
      </w:pPr>
      <w:r w:rsidRPr="00843820">
        <w:rPr>
          <w:rFonts w:ascii="Verdana" w:hAnsi="Verdana"/>
        </w:rPr>
        <w:t>Technical Certificates</w:t>
      </w:r>
    </w:p>
    <w:p w14:paraId="5AF719E6" w14:textId="77777777" w:rsidR="000440A3" w:rsidRPr="00843820" w:rsidRDefault="000440A3" w:rsidP="000440A3">
      <w:pPr>
        <w:rPr>
          <w:rFonts w:ascii="Verdana" w:hAnsi="Verdana"/>
        </w:rPr>
      </w:pPr>
      <w:r w:rsidRPr="00843820">
        <w:rPr>
          <w:rFonts w:ascii="Verdana" w:hAnsi="Verdana"/>
        </w:rPr>
        <w:t xml:space="preserve">Applied Generals </w:t>
      </w:r>
    </w:p>
    <w:p w14:paraId="54A98484" w14:textId="77777777" w:rsidR="000440A3" w:rsidRPr="00843820" w:rsidRDefault="000440A3" w:rsidP="000440A3">
      <w:pPr>
        <w:spacing w:before="240"/>
        <w:rPr>
          <w:rFonts w:ascii="Verdana" w:hAnsi="Verdana"/>
          <w:b/>
        </w:rPr>
      </w:pPr>
      <w:r w:rsidRPr="00843820">
        <w:rPr>
          <w:rFonts w:ascii="Verdana" w:hAnsi="Verdana"/>
          <w:b/>
        </w:rPr>
        <w:t>Schedule for publishing the External Assessment Timetable</w:t>
      </w:r>
    </w:p>
    <w:p w14:paraId="064D8E61" w14:textId="2009EB49" w:rsidR="000440A3" w:rsidRPr="00843820" w:rsidRDefault="000440A3" w:rsidP="000440A3">
      <w:pPr>
        <w:spacing w:before="240"/>
        <w:rPr>
          <w:rFonts w:ascii="Verdana" w:hAnsi="Verdana"/>
        </w:rPr>
      </w:pPr>
      <w:r w:rsidRPr="00843820">
        <w:rPr>
          <w:rFonts w:ascii="Verdana" w:hAnsi="Verdana"/>
        </w:rPr>
        <w:t>Each academic session we aim to publish a</w:t>
      </w:r>
      <w:r w:rsidR="00D37D06">
        <w:rPr>
          <w:rFonts w:ascii="Verdana" w:hAnsi="Verdana"/>
        </w:rPr>
        <w:t>n</w:t>
      </w:r>
      <w:r w:rsidRPr="00843820">
        <w:rPr>
          <w:rFonts w:ascii="Verdana" w:hAnsi="Verdana"/>
        </w:rPr>
        <w:t xml:space="preserve"> External Assessment Timetable for the academic session two years in advance</w:t>
      </w:r>
      <w:r w:rsidR="000D7596" w:rsidRPr="00843820">
        <w:rPr>
          <w:rFonts w:ascii="Verdana" w:hAnsi="Verdana"/>
        </w:rPr>
        <w:t>,</w:t>
      </w:r>
      <w:r w:rsidRPr="00843820">
        <w:rPr>
          <w:rFonts w:ascii="Verdana" w:hAnsi="Verdana"/>
        </w:rPr>
        <w:t xml:space="preserve"> no later than 31 </w:t>
      </w:r>
      <w:r w:rsidR="00D37D06">
        <w:rPr>
          <w:rFonts w:ascii="Verdana" w:hAnsi="Verdana"/>
        </w:rPr>
        <w:t>August.</w:t>
      </w:r>
    </w:p>
    <w:p w14:paraId="685BCB38" w14:textId="2F7D0658" w:rsidR="000440A3" w:rsidRPr="00843820" w:rsidRDefault="00D37D06" w:rsidP="000440A3">
      <w:pPr>
        <w:spacing w:before="240"/>
        <w:rPr>
          <w:rFonts w:ascii="Verdana" w:hAnsi="Verdana"/>
        </w:rPr>
      </w:pPr>
      <w:r>
        <w:rPr>
          <w:rFonts w:ascii="Verdana" w:hAnsi="Verdana"/>
        </w:rPr>
        <w:t>In advance, c</w:t>
      </w:r>
      <w:r w:rsidR="000440A3" w:rsidRPr="00843820">
        <w:rPr>
          <w:rFonts w:ascii="Verdana" w:hAnsi="Verdana"/>
        </w:rPr>
        <w:t>entres are given the opportunity to comment on the Provisional External Assessment Timetable</w:t>
      </w:r>
      <w:r w:rsidR="00AB4389">
        <w:rPr>
          <w:rFonts w:ascii="Verdana" w:hAnsi="Verdana"/>
        </w:rPr>
        <w:t xml:space="preserve"> for the second year of each 2-year list of entries.</w:t>
      </w:r>
    </w:p>
    <w:p w14:paraId="24901516" w14:textId="77777777" w:rsidR="000440A3" w:rsidRPr="00843820" w:rsidRDefault="000440A3" w:rsidP="000440A3">
      <w:pPr>
        <w:spacing w:before="240"/>
        <w:rPr>
          <w:rFonts w:ascii="Verdana" w:hAnsi="Verdana"/>
        </w:rPr>
      </w:pPr>
      <w:r w:rsidRPr="00843820">
        <w:rPr>
          <w:rFonts w:ascii="Verdana" w:hAnsi="Verdana"/>
        </w:rPr>
        <w:t xml:space="preserve">Comments, </w:t>
      </w:r>
      <w:proofErr w:type="gramStart"/>
      <w:r w:rsidRPr="00843820">
        <w:rPr>
          <w:rFonts w:ascii="Verdana" w:hAnsi="Verdana"/>
        </w:rPr>
        <w:t>observations</w:t>
      </w:r>
      <w:proofErr w:type="gramEnd"/>
      <w:r w:rsidRPr="00843820">
        <w:rPr>
          <w:rFonts w:ascii="Verdana" w:hAnsi="Verdana"/>
        </w:rPr>
        <w:t xml:space="preserve"> or suggested amendments to the Provisional External Assessment Timetable must be submitted in writing no later than </w:t>
      </w:r>
      <w:r w:rsidRPr="00843820">
        <w:rPr>
          <w:rFonts w:ascii="Verdana" w:hAnsi="Verdana"/>
          <w:b/>
        </w:rPr>
        <w:t>26 June</w:t>
      </w:r>
      <w:r w:rsidRPr="00843820">
        <w:rPr>
          <w:rFonts w:ascii="Verdana" w:hAnsi="Verdana"/>
        </w:rPr>
        <w:t>, for consideration by the NCFE CACHE Timetable Working Group (TWG).</w:t>
      </w:r>
    </w:p>
    <w:p w14:paraId="4685BC7E" w14:textId="77777777" w:rsidR="000440A3" w:rsidRPr="00843820" w:rsidRDefault="000440A3" w:rsidP="000440A3">
      <w:pPr>
        <w:spacing w:before="240"/>
        <w:rPr>
          <w:rFonts w:ascii="Verdana" w:hAnsi="Verdana"/>
        </w:rPr>
      </w:pPr>
      <w:r w:rsidRPr="00843820">
        <w:rPr>
          <w:rFonts w:ascii="Verdana" w:hAnsi="Verdana"/>
        </w:rPr>
        <w:t xml:space="preserve">The TWG will carefully consider all comments received from centres. </w:t>
      </w:r>
    </w:p>
    <w:p w14:paraId="139CFCE7" w14:textId="74B8D2FA" w:rsidR="000440A3" w:rsidRPr="00843820" w:rsidRDefault="000440A3" w:rsidP="000440A3">
      <w:pPr>
        <w:spacing w:before="240"/>
        <w:rPr>
          <w:rFonts w:ascii="Verdana" w:hAnsi="Verdana"/>
        </w:rPr>
      </w:pPr>
      <w:r w:rsidRPr="00843820">
        <w:rPr>
          <w:rFonts w:ascii="Verdana" w:hAnsi="Verdana"/>
        </w:rPr>
        <w:t xml:space="preserve">An updated version of the External Assessment Timetable will be finalised and published on our website in </w:t>
      </w:r>
      <w:r w:rsidR="00AB4389">
        <w:rPr>
          <w:rFonts w:ascii="Verdana" w:hAnsi="Verdana"/>
        </w:rPr>
        <w:t>August</w:t>
      </w:r>
      <w:r w:rsidRPr="00843820">
        <w:rPr>
          <w:rFonts w:ascii="Verdana" w:hAnsi="Verdana"/>
        </w:rPr>
        <w:t xml:space="preserve">. </w:t>
      </w:r>
    </w:p>
    <w:p w14:paraId="089ED634" w14:textId="77777777" w:rsidR="000440A3" w:rsidRPr="00843820" w:rsidRDefault="000440A3" w:rsidP="000440A3">
      <w:pPr>
        <w:spacing w:before="240"/>
        <w:rPr>
          <w:rFonts w:ascii="Verdana" w:hAnsi="Verdana"/>
        </w:rPr>
      </w:pPr>
    </w:p>
    <w:tbl>
      <w:tblPr>
        <w:tblStyle w:val="TableGrid"/>
        <w:tblW w:w="0" w:type="auto"/>
        <w:tblLook w:val="04A0" w:firstRow="1" w:lastRow="0" w:firstColumn="1" w:lastColumn="0" w:noHBand="0" w:noVBand="1"/>
      </w:tblPr>
      <w:tblGrid>
        <w:gridCol w:w="5665"/>
        <w:gridCol w:w="3351"/>
      </w:tblGrid>
      <w:tr w:rsidR="000440A3" w:rsidRPr="00843820" w14:paraId="30F73CAC" w14:textId="77777777" w:rsidTr="007B7312">
        <w:tc>
          <w:tcPr>
            <w:tcW w:w="9016" w:type="dxa"/>
            <w:gridSpan w:val="2"/>
          </w:tcPr>
          <w:p w14:paraId="508C49C7" w14:textId="77777777" w:rsidR="000440A3" w:rsidRPr="00843820" w:rsidRDefault="000440A3" w:rsidP="007B7312">
            <w:pPr>
              <w:spacing w:before="240"/>
              <w:rPr>
                <w:rFonts w:ascii="Verdana" w:hAnsi="Verdana"/>
                <w:b/>
              </w:rPr>
            </w:pPr>
            <w:r w:rsidRPr="00843820">
              <w:rPr>
                <w:rFonts w:ascii="Verdana" w:hAnsi="Verdana"/>
                <w:b/>
              </w:rPr>
              <w:t>Key dates</w:t>
            </w:r>
          </w:p>
        </w:tc>
      </w:tr>
      <w:tr w:rsidR="000440A3" w:rsidRPr="00843820" w14:paraId="7C52007D" w14:textId="77777777" w:rsidTr="007B7312">
        <w:tc>
          <w:tcPr>
            <w:tcW w:w="5665" w:type="dxa"/>
          </w:tcPr>
          <w:p w14:paraId="17DF631C" w14:textId="77777777" w:rsidR="000440A3" w:rsidRPr="00843820" w:rsidRDefault="000440A3" w:rsidP="007B7312">
            <w:pPr>
              <w:spacing w:before="240"/>
              <w:rPr>
                <w:rFonts w:ascii="Verdana" w:hAnsi="Verdana"/>
              </w:rPr>
            </w:pPr>
            <w:r w:rsidRPr="00843820">
              <w:rPr>
                <w:rFonts w:ascii="Verdana" w:hAnsi="Verdana"/>
              </w:rPr>
              <w:t>Comments from centres to be received by</w:t>
            </w:r>
          </w:p>
        </w:tc>
        <w:tc>
          <w:tcPr>
            <w:tcW w:w="3351" w:type="dxa"/>
          </w:tcPr>
          <w:p w14:paraId="6FE9EDBB" w14:textId="77777777" w:rsidR="000440A3" w:rsidRPr="00843820" w:rsidRDefault="000440A3" w:rsidP="007B7312">
            <w:pPr>
              <w:spacing w:before="240"/>
              <w:rPr>
                <w:rFonts w:ascii="Verdana" w:hAnsi="Verdana"/>
                <w:b/>
              </w:rPr>
            </w:pPr>
            <w:r w:rsidRPr="00843820">
              <w:rPr>
                <w:rFonts w:ascii="Verdana" w:hAnsi="Verdana"/>
                <w:b/>
              </w:rPr>
              <w:t>26 June</w:t>
            </w:r>
          </w:p>
        </w:tc>
      </w:tr>
      <w:tr w:rsidR="000440A3" w:rsidRPr="00843820" w14:paraId="5197C014" w14:textId="77777777" w:rsidTr="007B7312">
        <w:tc>
          <w:tcPr>
            <w:tcW w:w="5665" w:type="dxa"/>
          </w:tcPr>
          <w:p w14:paraId="70E9A86E" w14:textId="77777777" w:rsidR="000440A3" w:rsidRPr="00843820" w:rsidRDefault="000440A3" w:rsidP="007B7312">
            <w:pPr>
              <w:spacing w:before="240"/>
              <w:rPr>
                <w:rFonts w:ascii="Verdana" w:hAnsi="Verdana"/>
              </w:rPr>
            </w:pPr>
            <w:r w:rsidRPr="00843820">
              <w:rPr>
                <w:rFonts w:ascii="Verdana" w:hAnsi="Verdana"/>
              </w:rPr>
              <w:t>Final External Assessment Timetable published by</w:t>
            </w:r>
          </w:p>
        </w:tc>
        <w:tc>
          <w:tcPr>
            <w:tcW w:w="3351" w:type="dxa"/>
          </w:tcPr>
          <w:p w14:paraId="4EEF68E4" w14:textId="59E89577" w:rsidR="000440A3" w:rsidRPr="00843820" w:rsidRDefault="00AB4389" w:rsidP="007B7312">
            <w:pPr>
              <w:spacing w:before="240"/>
              <w:rPr>
                <w:rFonts w:ascii="Verdana" w:hAnsi="Verdana"/>
                <w:b/>
              </w:rPr>
            </w:pPr>
            <w:r>
              <w:rPr>
                <w:rFonts w:ascii="Verdana" w:hAnsi="Verdana"/>
                <w:b/>
              </w:rPr>
              <w:t>31 August</w:t>
            </w:r>
          </w:p>
        </w:tc>
      </w:tr>
    </w:tbl>
    <w:p w14:paraId="45B0A385" w14:textId="77777777" w:rsidR="000440A3" w:rsidRPr="00843820" w:rsidRDefault="000440A3" w:rsidP="000440A3">
      <w:pPr>
        <w:spacing w:before="240"/>
        <w:rPr>
          <w:rFonts w:ascii="Verdana" w:hAnsi="Verdana"/>
        </w:rPr>
      </w:pPr>
    </w:p>
    <w:p w14:paraId="3F3D7128" w14:textId="77777777" w:rsidR="000440A3" w:rsidRPr="00843820" w:rsidRDefault="000440A3" w:rsidP="000440A3">
      <w:pPr>
        <w:spacing w:before="240"/>
        <w:rPr>
          <w:rFonts w:ascii="Verdana" w:hAnsi="Verdana"/>
          <w:b/>
        </w:rPr>
      </w:pPr>
    </w:p>
    <w:p w14:paraId="0C78242D" w14:textId="77777777" w:rsidR="000440A3" w:rsidRPr="00843820" w:rsidRDefault="000440A3" w:rsidP="000440A3">
      <w:pPr>
        <w:spacing w:before="240"/>
        <w:rPr>
          <w:rFonts w:ascii="Verdana" w:hAnsi="Verdana"/>
          <w:b/>
        </w:rPr>
      </w:pPr>
    </w:p>
    <w:p w14:paraId="2B415477" w14:textId="75F5A546" w:rsidR="000440A3" w:rsidRDefault="000440A3" w:rsidP="000440A3">
      <w:pPr>
        <w:spacing w:before="240"/>
        <w:rPr>
          <w:rFonts w:ascii="Verdana" w:hAnsi="Verdana"/>
          <w:b/>
        </w:rPr>
      </w:pPr>
    </w:p>
    <w:p w14:paraId="6BD253E1" w14:textId="77777777" w:rsidR="00AB4389" w:rsidRPr="00843820" w:rsidRDefault="00AB4389" w:rsidP="000440A3">
      <w:pPr>
        <w:spacing w:before="240"/>
        <w:rPr>
          <w:rFonts w:ascii="Verdana" w:hAnsi="Verdana"/>
          <w:b/>
        </w:rPr>
      </w:pPr>
    </w:p>
    <w:p w14:paraId="5FDD1274" w14:textId="3F19C621" w:rsidR="000440A3" w:rsidRPr="00843820" w:rsidRDefault="000440A3" w:rsidP="000440A3">
      <w:pPr>
        <w:spacing w:before="240"/>
        <w:rPr>
          <w:rFonts w:ascii="Verdana" w:hAnsi="Verdana"/>
          <w:b/>
        </w:rPr>
      </w:pPr>
    </w:p>
    <w:p w14:paraId="247E0082" w14:textId="78107ABB" w:rsidR="000440A3" w:rsidRPr="00843820" w:rsidRDefault="000440A3" w:rsidP="000440A3">
      <w:pPr>
        <w:spacing w:before="240"/>
        <w:rPr>
          <w:rFonts w:ascii="Verdana" w:hAnsi="Verdana"/>
        </w:rPr>
      </w:pPr>
      <w:r w:rsidRPr="00843820">
        <w:rPr>
          <w:rFonts w:ascii="Verdana" w:hAnsi="Verdana"/>
          <w:b/>
        </w:rPr>
        <w:t>Constructing the External Assessment Timetable</w:t>
      </w:r>
      <w:r w:rsidRPr="00843820">
        <w:rPr>
          <w:rFonts w:ascii="Verdana" w:hAnsi="Verdana"/>
        </w:rPr>
        <w:t xml:space="preserve"> </w:t>
      </w:r>
    </w:p>
    <w:p w14:paraId="10E630E1" w14:textId="76E1040A" w:rsidR="000440A3" w:rsidRPr="00843820" w:rsidRDefault="000440A3" w:rsidP="000440A3">
      <w:pPr>
        <w:spacing w:before="240"/>
        <w:rPr>
          <w:rFonts w:ascii="Verdana" w:hAnsi="Verdana"/>
        </w:rPr>
      </w:pPr>
      <w:r w:rsidRPr="00843820">
        <w:rPr>
          <w:rFonts w:ascii="Verdana" w:hAnsi="Verdana"/>
        </w:rPr>
        <w:t xml:space="preserve">The TWG will work to the following business rules when producing the External Assessment Timetable. </w:t>
      </w:r>
    </w:p>
    <w:p w14:paraId="69EDDD4F" w14:textId="77777777" w:rsidR="000440A3" w:rsidRPr="00843820" w:rsidRDefault="000440A3" w:rsidP="000440A3">
      <w:pPr>
        <w:spacing w:before="240"/>
        <w:rPr>
          <w:rFonts w:ascii="Verdana" w:hAnsi="Verdana"/>
        </w:rPr>
      </w:pPr>
      <w:r w:rsidRPr="00843820">
        <w:rPr>
          <w:rFonts w:ascii="Verdana" w:hAnsi="Verdana"/>
        </w:rPr>
        <w:t xml:space="preserve">1. When deciding upon the dates for any external assessment the TWG will consider subject combinations using statistical data from previous series and feedback from centres. The External Assessment Timetable will take note of the timetabling arrangements for FSMQ, GCE and GCSE qualifications </w:t>
      </w:r>
      <w:proofErr w:type="gramStart"/>
      <w:r w:rsidRPr="00843820">
        <w:rPr>
          <w:rFonts w:ascii="Verdana" w:hAnsi="Verdana"/>
        </w:rPr>
        <w:t>in order to</w:t>
      </w:r>
      <w:proofErr w:type="gramEnd"/>
      <w:r w:rsidRPr="00843820">
        <w:rPr>
          <w:rFonts w:ascii="Verdana" w:hAnsi="Verdana"/>
        </w:rPr>
        <w:t xml:space="preserve"> reduce potential timetable clashes. </w:t>
      </w:r>
    </w:p>
    <w:p w14:paraId="65501B07" w14:textId="77777777" w:rsidR="000440A3" w:rsidRPr="00843820" w:rsidRDefault="000440A3" w:rsidP="000440A3">
      <w:pPr>
        <w:spacing w:before="240"/>
        <w:rPr>
          <w:rFonts w:ascii="Verdana" w:hAnsi="Verdana"/>
        </w:rPr>
      </w:pPr>
      <w:r w:rsidRPr="00843820">
        <w:rPr>
          <w:rFonts w:ascii="Verdana" w:hAnsi="Verdana"/>
        </w:rPr>
        <w:t xml:space="preserve">2. The TWG will try to minimise timetable clashes and accommodation problems for centres. However, given the size and complexity of the External Assessment Timetable, clashes will be inevitable. Where a centre is impacted by a </w:t>
      </w:r>
      <w:proofErr w:type="gramStart"/>
      <w:r w:rsidRPr="00843820">
        <w:rPr>
          <w:rFonts w:ascii="Verdana" w:hAnsi="Verdana"/>
        </w:rPr>
        <w:t>clash</w:t>
      </w:r>
      <w:proofErr w:type="gramEnd"/>
      <w:r w:rsidRPr="00843820">
        <w:rPr>
          <w:rFonts w:ascii="Verdana" w:hAnsi="Verdana"/>
        </w:rPr>
        <w:t xml:space="preserve"> we ask that they submit an assessment variation request via our website.</w:t>
      </w:r>
    </w:p>
    <w:p w14:paraId="4D29DAFF" w14:textId="77777777" w:rsidR="000440A3" w:rsidRPr="00843820" w:rsidRDefault="000440A3" w:rsidP="000440A3">
      <w:pPr>
        <w:spacing w:before="240"/>
        <w:rPr>
          <w:rFonts w:ascii="Verdana" w:hAnsi="Verdana"/>
        </w:rPr>
      </w:pPr>
      <w:r w:rsidRPr="00843820">
        <w:rPr>
          <w:rFonts w:ascii="Verdana" w:hAnsi="Verdana"/>
        </w:rPr>
        <w:t>3. External assessments will be scheduled during standard term times and cannot take account of individual school or college closures. We will not schedule any external assessments for a weekend or a Bank Holiday.</w:t>
      </w:r>
    </w:p>
    <w:p w14:paraId="59C3415A" w14:textId="77777777" w:rsidR="000440A3" w:rsidRPr="00843820" w:rsidRDefault="000440A3" w:rsidP="000440A3">
      <w:pPr>
        <w:spacing w:before="240"/>
        <w:rPr>
          <w:rFonts w:ascii="Verdana" w:hAnsi="Verdana"/>
        </w:rPr>
      </w:pPr>
      <w:r w:rsidRPr="00843820">
        <w:rPr>
          <w:rFonts w:ascii="Verdana" w:hAnsi="Verdana"/>
        </w:rPr>
        <w:t>4. Where we have more than one model of qualification in any one subject area, we will ensure there are no clashes with our chosen dates of external assessments across our own suite.</w:t>
      </w:r>
    </w:p>
    <w:p w14:paraId="32AEF5EF" w14:textId="77777777" w:rsidR="000440A3" w:rsidRPr="00843820" w:rsidRDefault="000440A3" w:rsidP="000440A3">
      <w:pPr>
        <w:spacing w:before="240"/>
        <w:rPr>
          <w:rFonts w:ascii="Verdana" w:hAnsi="Verdana"/>
        </w:rPr>
      </w:pPr>
      <w:r w:rsidRPr="00843820">
        <w:rPr>
          <w:rFonts w:ascii="Verdana" w:hAnsi="Verdana"/>
        </w:rPr>
        <w:t>5. To support centres with booking any re-sits for their learners, we will ensure the bookings cut-off date for upcoming external assessments is after results have been released for the previous external assessment.</w:t>
      </w:r>
    </w:p>
    <w:p w14:paraId="7D1D9C4D" w14:textId="7FA45A01" w:rsidR="000440A3" w:rsidRPr="00843820" w:rsidRDefault="000440A3" w:rsidP="000440A3">
      <w:pPr>
        <w:spacing w:before="240"/>
        <w:rPr>
          <w:rFonts w:ascii="Verdana" w:hAnsi="Verdana"/>
        </w:rPr>
      </w:pPr>
      <w:r w:rsidRPr="00843820">
        <w:rPr>
          <w:rFonts w:ascii="Verdana" w:hAnsi="Verdana"/>
        </w:rPr>
        <w:t xml:space="preserve">6. All set </w:t>
      </w:r>
      <w:r w:rsidR="00900D5D">
        <w:rPr>
          <w:rFonts w:ascii="Verdana" w:hAnsi="Verdana"/>
        </w:rPr>
        <w:t xml:space="preserve">date </w:t>
      </w:r>
      <w:r w:rsidRPr="00843820">
        <w:rPr>
          <w:rFonts w:ascii="Verdana" w:hAnsi="Verdana"/>
        </w:rPr>
        <w:t>and timed external assessments will be timetabled for 9.00am if a morning slot or 1.00pm if an afternoon slot.</w:t>
      </w:r>
    </w:p>
    <w:p w14:paraId="740224F0" w14:textId="77777777" w:rsidR="000440A3" w:rsidRPr="00843820" w:rsidRDefault="000440A3" w:rsidP="000440A3">
      <w:pPr>
        <w:spacing w:before="240"/>
        <w:rPr>
          <w:rFonts w:ascii="Verdana" w:hAnsi="Verdana"/>
        </w:rPr>
      </w:pPr>
      <w:r w:rsidRPr="00843820">
        <w:rPr>
          <w:rFonts w:ascii="Verdana" w:hAnsi="Verdana"/>
        </w:rPr>
        <w:t>7. The TWG will take account of religious festivals. However, there may be occasions where we are unable to avoid timetabling external assessments on such days.</w:t>
      </w:r>
    </w:p>
    <w:p w14:paraId="11500BD8" w14:textId="77777777" w:rsidR="000440A3" w:rsidRPr="00843820" w:rsidRDefault="000440A3" w:rsidP="000440A3">
      <w:pPr>
        <w:spacing w:before="240"/>
        <w:rPr>
          <w:rFonts w:ascii="Verdana" w:hAnsi="Verdana"/>
        </w:rPr>
      </w:pPr>
      <w:r w:rsidRPr="00843820">
        <w:rPr>
          <w:rFonts w:ascii="Verdana" w:hAnsi="Verdana"/>
        </w:rPr>
        <w:t xml:space="preserve">Please note: </w:t>
      </w:r>
    </w:p>
    <w:p w14:paraId="46E30C4D" w14:textId="77777777" w:rsidR="000440A3" w:rsidRPr="00843820" w:rsidRDefault="000440A3" w:rsidP="000440A3">
      <w:pPr>
        <w:spacing w:before="240"/>
        <w:rPr>
          <w:rFonts w:ascii="Verdana" w:hAnsi="Verdana"/>
        </w:rPr>
      </w:pPr>
      <w:r w:rsidRPr="00843820">
        <w:rPr>
          <w:rFonts w:ascii="Verdana" w:hAnsi="Verdana"/>
        </w:rPr>
        <w:t xml:space="preserve">- It must not be assumed that an individual subject or external assessment component will be timetabled </w:t>
      </w:r>
      <w:proofErr w:type="gramStart"/>
      <w:r w:rsidRPr="00843820">
        <w:rPr>
          <w:rFonts w:ascii="Verdana" w:hAnsi="Verdana"/>
        </w:rPr>
        <w:t>on the basis of</w:t>
      </w:r>
      <w:proofErr w:type="gramEnd"/>
      <w:r w:rsidRPr="00843820">
        <w:rPr>
          <w:rFonts w:ascii="Verdana" w:hAnsi="Verdana"/>
        </w:rPr>
        <w:t xml:space="preserve"> historical arrangements. </w:t>
      </w:r>
    </w:p>
    <w:p w14:paraId="0F5BAD9B" w14:textId="23BB58B0" w:rsidR="000440A3" w:rsidRPr="00843820" w:rsidRDefault="000440A3" w:rsidP="000440A3">
      <w:pPr>
        <w:spacing w:before="240"/>
        <w:rPr>
          <w:rFonts w:ascii="Verdana" w:hAnsi="Verdana"/>
        </w:rPr>
      </w:pPr>
      <w:r w:rsidRPr="00843820">
        <w:rPr>
          <w:rFonts w:ascii="Verdana" w:hAnsi="Verdana"/>
        </w:rPr>
        <w:t xml:space="preserve">- All dates provided within provisional copies of the External Assessment Timetable are not confirmed until they are finalised and published in the revised updated version of our External Assessment Timetable </w:t>
      </w:r>
      <w:r w:rsidR="002100C3" w:rsidRPr="00843820">
        <w:rPr>
          <w:rFonts w:ascii="Verdana" w:hAnsi="Verdana"/>
        </w:rPr>
        <w:t xml:space="preserve">which is available to centres in </w:t>
      </w:r>
      <w:r w:rsidR="00900D5D">
        <w:rPr>
          <w:rFonts w:ascii="Verdana" w:hAnsi="Verdana"/>
        </w:rPr>
        <w:t>August</w:t>
      </w:r>
      <w:r w:rsidRPr="00843820">
        <w:rPr>
          <w:rFonts w:ascii="Verdana" w:hAnsi="Verdana"/>
        </w:rPr>
        <w:t xml:space="preserve">. </w:t>
      </w:r>
    </w:p>
    <w:p w14:paraId="708DBB0D" w14:textId="424857FE" w:rsidR="000440A3" w:rsidRPr="00843820" w:rsidRDefault="000440A3" w:rsidP="000440A3">
      <w:pPr>
        <w:spacing w:before="240"/>
        <w:rPr>
          <w:rFonts w:ascii="Verdana" w:hAnsi="Verdana"/>
        </w:rPr>
      </w:pPr>
      <w:r w:rsidRPr="00843820">
        <w:rPr>
          <w:rFonts w:ascii="Verdana" w:hAnsi="Verdana"/>
        </w:rPr>
        <w:t>- Printed versions of the External Assessment Timetable are not subject to version control. Centres must refer to our website for the most up-to-date version.</w:t>
      </w:r>
    </w:p>
    <w:p w14:paraId="2F45AE65" w14:textId="77777777" w:rsidR="000440A3" w:rsidRPr="00843820" w:rsidRDefault="000440A3" w:rsidP="000440A3">
      <w:pPr>
        <w:spacing w:before="240"/>
        <w:rPr>
          <w:rFonts w:ascii="Verdana" w:hAnsi="Verdana"/>
        </w:rPr>
      </w:pPr>
    </w:p>
    <w:p w14:paraId="3DDF2104" w14:textId="4DE58450" w:rsidR="00762126" w:rsidRPr="00797325" w:rsidRDefault="000440A3" w:rsidP="00797325">
      <w:pPr>
        <w:spacing w:before="240"/>
        <w:rPr>
          <w:rFonts w:ascii="Verdana" w:hAnsi="Verdana"/>
        </w:rPr>
      </w:pPr>
      <w:r w:rsidRPr="00843820">
        <w:rPr>
          <w:rFonts w:ascii="Verdana" w:hAnsi="Verdana"/>
        </w:rPr>
        <w:t>Contact</w:t>
      </w:r>
      <w:r w:rsidR="00241DA8" w:rsidRPr="00843820">
        <w:rPr>
          <w:rFonts w:ascii="Verdana" w:hAnsi="Verdana"/>
        </w:rPr>
        <w:t>:</w:t>
      </w:r>
      <w:r w:rsidRPr="00843820">
        <w:rPr>
          <w:rFonts w:ascii="Verdana" w:hAnsi="Verdana"/>
        </w:rPr>
        <w:t xml:space="preserve"> Should you notice any erroneous dates or incorrect information within our External Assessment Timetable, please contact the Assessment Delivery Team using </w:t>
      </w:r>
      <w:hyperlink r:id="rId10" w:history="1">
        <w:r w:rsidR="00ED1EFD" w:rsidRPr="00843820">
          <w:rPr>
            <w:rStyle w:val="Hyperlink"/>
            <w:rFonts w:ascii="Verdana" w:hAnsi="Verdana"/>
          </w:rPr>
          <w:t>assessmentdelivery@</w:t>
        </w:r>
        <w:r w:rsidR="001B38E5">
          <w:rPr>
            <w:rStyle w:val="Hyperlink"/>
            <w:rFonts w:ascii="Verdana" w:hAnsi="Verdana"/>
          </w:rPr>
          <w:t>ncfe</w:t>
        </w:r>
        <w:r w:rsidR="00ED1EFD" w:rsidRPr="00843820">
          <w:rPr>
            <w:rStyle w:val="Hyperlink"/>
            <w:rFonts w:ascii="Verdana" w:hAnsi="Verdana"/>
          </w:rPr>
          <w:t>.org.uk</w:t>
        </w:r>
      </w:hyperlink>
      <w:r w:rsidRPr="00843820">
        <w:rPr>
          <w:rFonts w:ascii="Verdana" w:hAnsi="Verdana"/>
        </w:rPr>
        <w:t>.</w:t>
      </w:r>
    </w:p>
    <w:sectPr w:rsidR="00762126" w:rsidRPr="00797325" w:rsidSect="00762126">
      <w:headerReference w:type="default" r:id="rId11"/>
      <w:footerReference w:type="default" r:id="rId12"/>
      <w:type w:val="continuous"/>
      <w:pgSz w:w="11910" w:h="16840"/>
      <w:pgMar w:top="920" w:right="660" w:bottom="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C64C" w14:textId="77777777" w:rsidR="005227F2" w:rsidRDefault="005227F2" w:rsidP="00762126">
      <w:r>
        <w:separator/>
      </w:r>
    </w:p>
  </w:endnote>
  <w:endnote w:type="continuationSeparator" w:id="0">
    <w:p w14:paraId="0ADF9279" w14:textId="77777777" w:rsidR="005227F2" w:rsidRDefault="005227F2" w:rsidP="0076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D8BC" w14:textId="0538FAAE" w:rsidR="009B7E16" w:rsidRDefault="009B7E16" w:rsidP="009B7E16">
    <w:pPr>
      <w:pStyle w:val="Footer"/>
      <w:ind w:left="-142"/>
    </w:pPr>
    <w:r w:rsidRPr="00826111">
      <w:rPr>
        <w:b/>
        <w:sz w:val="18"/>
        <w:szCs w:val="18"/>
      </w:rPr>
      <w:t xml:space="preserve">Version 1.1  </w:t>
    </w:r>
    <w:r>
      <w:rPr>
        <w:b/>
        <w:sz w:val="18"/>
        <w:szCs w:val="18"/>
      </w:rPr>
      <w:t xml:space="preserve">  </w:t>
    </w:r>
    <w:r>
      <w:rPr>
        <w:sz w:val="18"/>
        <w:szCs w:val="18"/>
      </w:rPr>
      <w:t>September</w:t>
    </w:r>
    <w:r w:rsidRPr="00826111">
      <w:rPr>
        <w:sz w:val="18"/>
        <w:szCs w:val="18"/>
      </w:rPr>
      <w:t xml:space="preserve"> </w:t>
    </w:r>
    <w:r>
      <w:rPr>
        <w:sz w:val="18"/>
        <w:szCs w:val="18"/>
      </w:rPr>
      <w:t>202</w:t>
    </w:r>
    <w:r w:rsidR="00AB4389">
      <w:rPr>
        <w:sz w:val="18"/>
        <w:szCs w:val="18"/>
      </w:rPr>
      <w:t>2</w:t>
    </w:r>
    <w:r>
      <w:rPr>
        <w:sz w:val="18"/>
        <w:szCs w:val="18"/>
      </w:rPr>
      <w:t xml:space="preserve"> </w:t>
    </w:r>
    <w:r>
      <w:ptab w:relativeTo="margin" w:alignment="center" w:leader="none"/>
    </w:r>
    <w:r>
      <w:ptab w:relativeTo="margin" w:alignment="right" w:leader="none"/>
    </w:r>
    <w:r>
      <w:t xml:space="preserve">   </w:t>
    </w:r>
    <w:r>
      <w:rPr>
        <w:b/>
        <w:sz w:val="18"/>
        <w:szCs w:val="18"/>
      </w:rPr>
      <w:t xml:space="preserve">Visit </w:t>
    </w:r>
    <w:r w:rsidRPr="00E81994">
      <w:rPr>
        <w:sz w:val="18"/>
        <w:szCs w:val="18"/>
      </w:rPr>
      <w:t>ncfe.org.uk</w:t>
    </w:r>
    <w:r>
      <w:rPr>
        <w:b/>
        <w:sz w:val="18"/>
        <w:szCs w:val="18"/>
      </w:rPr>
      <w:t xml:space="preserve">    Call </w:t>
    </w:r>
    <w:r w:rsidRPr="00E81994">
      <w:rPr>
        <w:sz w:val="18"/>
        <w:szCs w:val="18"/>
      </w:rPr>
      <w:t>0191 239 8000</w:t>
    </w:r>
  </w:p>
  <w:p w14:paraId="797BFB79" w14:textId="2A788737" w:rsidR="009B7E16" w:rsidRDefault="009B7E16">
    <w:pPr>
      <w:pStyle w:val="Footer"/>
    </w:pPr>
  </w:p>
  <w:p w14:paraId="51815FC9" w14:textId="77777777" w:rsidR="009B7E16" w:rsidRDefault="009B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1880" w14:textId="77777777" w:rsidR="005227F2" w:rsidRDefault="005227F2" w:rsidP="00762126">
      <w:r>
        <w:separator/>
      </w:r>
    </w:p>
  </w:footnote>
  <w:footnote w:type="continuationSeparator" w:id="0">
    <w:p w14:paraId="30D9E4D9" w14:textId="77777777" w:rsidR="005227F2" w:rsidRDefault="005227F2" w:rsidP="0076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6157" w14:textId="31DA73A6" w:rsidR="00797325" w:rsidRDefault="00797325">
    <w:pPr>
      <w:pStyle w:val="Header"/>
    </w:pPr>
    <w:r>
      <w:rPr>
        <w:noProof/>
      </w:rPr>
      <w:drawing>
        <wp:anchor distT="0" distB="0" distL="114300" distR="114300" simplePos="0" relativeHeight="251659264" behindDoc="1" locked="0" layoutInCell="1" allowOverlap="1" wp14:anchorId="2493771B" wp14:editId="3CA995AF">
          <wp:simplePos x="0" y="0"/>
          <wp:positionH relativeFrom="page">
            <wp:align>right</wp:align>
          </wp:positionH>
          <wp:positionV relativeFrom="page">
            <wp:posOffset>8626</wp:posOffset>
          </wp:positionV>
          <wp:extent cx="75342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10"/>
    <w:rsid w:val="000440A3"/>
    <w:rsid w:val="000906D7"/>
    <w:rsid w:val="000D7596"/>
    <w:rsid w:val="00172D54"/>
    <w:rsid w:val="001B38E5"/>
    <w:rsid w:val="002100C3"/>
    <w:rsid w:val="002258B1"/>
    <w:rsid w:val="0024051B"/>
    <w:rsid w:val="00241DA8"/>
    <w:rsid w:val="0024545F"/>
    <w:rsid w:val="002F4C82"/>
    <w:rsid w:val="00317972"/>
    <w:rsid w:val="004D31B9"/>
    <w:rsid w:val="004F2C8F"/>
    <w:rsid w:val="005227F2"/>
    <w:rsid w:val="005742A7"/>
    <w:rsid w:val="0064284F"/>
    <w:rsid w:val="00652DE2"/>
    <w:rsid w:val="006D7810"/>
    <w:rsid w:val="00713458"/>
    <w:rsid w:val="007448F5"/>
    <w:rsid w:val="007566C4"/>
    <w:rsid w:val="00762126"/>
    <w:rsid w:val="00797325"/>
    <w:rsid w:val="007A6C34"/>
    <w:rsid w:val="00843820"/>
    <w:rsid w:val="00900D5D"/>
    <w:rsid w:val="009B7E16"/>
    <w:rsid w:val="009E6FEE"/>
    <w:rsid w:val="00AB4389"/>
    <w:rsid w:val="00B5210A"/>
    <w:rsid w:val="00B7116C"/>
    <w:rsid w:val="00CA292D"/>
    <w:rsid w:val="00D37D06"/>
    <w:rsid w:val="00E02085"/>
    <w:rsid w:val="00ED1EFD"/>
    <w:rsid w:val="00F729DF"/>
    <w:rsid w:val="00FB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41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34"/>
      <w:szCs w:val="1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906D7"/>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0906D7"/>
    <w:rPr>
      <w:rFonts w:eastAsiaTheme="minorEastAsia"/>
      <w:lang w:eastAsia="zh-CN"/>
    </w:rPr>
  </w:style>
  <w:style w:type="paragraph" w:styleId="Header">
    <w:name w:val="header"/>
    <w:basedOn w:val="Normal"/>
    <w:link w:val="HeaderChar"/>
    <w:uiPriority w:val="99"/>
    <w:unhideWhenUsed/>
    <w:rsid w:val="00762126"/>
    <w:pPr>
      <w:tabs>
        <w:tab w:val="center" w:pos="4513"/>
        <w:tab w:val="right" w:pos="9026"/>
      </w:tabs>
    </w:pPr>
  </w:style>
  <w:style w:type="character" w:customStyle="1" w:styleId="HeaderChar">
    <w:name w:val="Header Char"/>
    <w:basedOn w:val="DefaultParagraphFont"/>
    <w:link w:val="Header"/>
    <w:uiPriority w:val="99"/>
    <w:rsid w:val="00762126"/>
    <w:rPr>
      <w:rFonts w:ascii="Arial" w:eastAsia="Arial" w:hAnsi="Arial" w:cs="Arial"/>
      <w:lang w:val="en-GB" w:eastAsia="en-GB" w:bidi="en-GB"/>
    </w:rPr>
  </w:style>
  <w:style w:type="paragraph" w:styleId="Footer">
    <w:name w:val="footer"/>
    <w:basedOn w:val="Normal"/>
    <w:link w:val="FooterChar"/>
    <w:uiPriority w:val="99"/>
    <w:unhideWhenUsed/>
    <w:rsid w:val="00762126"/>
    <w:pPr>
      <w:tabs>
        <w:tab w:val="center" w:pos="4513"/>
        <w:tab w:val="right" w:pos="9026"/>
      </w:tabs>
    </w:pPr>
  </w:style>
  <w:style w:type="character" w:customStyle="1" w:styleId="FooterChar">
    <w:name w:val="Footer Char"/>
    <w:basedOn w:val="DefaultParagraphFont"/>
    <w:link w:val="Footer"/>
    <w:uiPriority w:val="99"/>
    <w:rsid w:val="00762126"/>
    <w:rPr>
      <w:rFonts w:ascii="Arial" w:eastAsia="Arial" w:hAnsi="Arial" w:cs="Arial"/>
      <w:lang w:val="en-GB" w:eastAsia="en-GB" w:bidi="en-GB"/>
    </w:rPr>
  </w:style>
  <w:style w:type="table" w:styleId="TableGrid">
    <w:name w:val="Table Grid"/>
    <w:basedOn w:val="TableNormal"/>
    <w:uiPriority w:val="39"/>
    <w:rsid w:val="000440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0A3"/>
    <w:rPr>
      <w:color w:val="0000FF" w:themeColor="hyperlink"/>
      <w:u w:val="single"/>
    </w:rPr>
  </w:style>
  <w:style w:type="character" w:styleId="CommentReference">
    <w:name w:val="annotation reference"/>
    <w:basedOn w:val="DefaultParagraphFont"/>
    <w:uiPriority w:val="99"/>
    <w:semiHidden/>
    <w:unhideWhenUsed/>
    <w:rsid w:val="007A6C34"/>
    <w:rPr>
      <w:sz w:val="16"/>
      <w:szCs w:val="16"/>
    </w:rPr>
  </w:style>
  <w:style w:type="paragraph" w:styleId="CommentText">
    <w:name w:val="annotation text"/>
    <w:basedOn w:val="Normal"/>
    <w:link w:val="CommentTextChar"/>
    <w:uiPriority w:val="99"/>
    <w:semiHidden/>
    <w:unhideWhenUsed/>
    <w:rsid w:val="007A6C34"/>
    <w:rPr>
      <w:sz w:val="20"/>
      <w:szCs w:val="20"/>
    </w:rPr>
  </w:style>
  <w:style w:type="character" w:customStyle="1" w:styleId="CommentTextChar">
    <w:name w:val="Comment Text Char"/>
    <w:basedOn w:val="DefaultParagraphFont"/>
    <w:link w:val="CommentText"/>
    <w:uiPriority w:val="99"/>
    <w:semiHidden/>
    <w:rsid w:val="007A6C3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A6C34"/>
    <w:rPr>
      <w:b/>
      <w:bCs/>
    </w:rPr>
  </w:style>
  <w:style w:type="character" w:customStyle="1" w:styleId="CommentSubjectChar">
    <w:name w:val="Comment Subject Char"/>
    <w:basedOn w:val="CommentTextChar"/>
    <w:link w:val="CommentSubject"/>
    <w:uiPriority w:val="99"/>
    <w:semiHidden/>
    <w:rsid w:val="007A6C34"/>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7A6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34"/>
    <w:rPr>
      <w:rFonts w:ascii="Segoe UI" w:eastAsia="Arial" w:hAnsi="Segoe UI" w:cs="Segoe UI"/>
      <w:sz w:val="18"/>
      <w:szCs w:val="18"/>
      <w:lang w:val="en-GB" w:eastAsia="en-GB" w:bidi="en-GB"/>
    </w:rPr>
  </w:style>
  <w:style w:type="character" w:styleId="UnresolvedMention">
    <w:name w:val="Unresolved Mention"/>
    <w:basedOn w:val="DefaultParagraphFont"/>
    <w:uiPriority w:val="99"/>
    <w:semiHidden/>
    <w:unhideWhenUsed/>
    <w:rsid w:val="00ED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sessmentdelivery@cache.org.u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d01af8-568b-4240-9ff0-60a86e0f489e" xsi:nil="true"/>
    <_ip_UnifiedCompliancePolicyUIAction xmlns="http://schemas.microsoft.com/sharepoint/v3" xsi:nil="true"/>
    <TaxCatchAll xmlns="2910ae0d-d99b-43ae-b7eb-97dae584179d" xsi:nil="true"/>
    <_ip_UnifiedCompliancePolicyProperties xmlns="http://schemas.microsoft.com/sharepoint/v3" xsi:nil="true"/>
    <lcf76f155ced4ddcb4097134ff3c332f xmlns="26d01af8-568b-4240-9ff0-60a86e0f48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510305B8EAC49AD5BE925EE3A95EF" ma:contentTypeVersion="19" ma:contentTypeDescription="Create a new document." ma:contentTypeScope="" ma:versionID="1913cfe882426f0bef5fe0b78aeaeb75">
  <xsd:schema xmlns:xsd="http://www.w3.org/2001/XMLSchema" xmlns:xs="http://www.w3.org/2001/XMLSchema" xmlns:p="http://schemas.microsoft.com/office/2006/metadata/properties" xmlns:ns1="http://schemas.microsoft.com/sharepoint/v3" xmlns:ns2="2910ae0d-d99b-43ae-b7eb-97dae584179d" xmlns:ns3="26d01af8-568b-4240-9ff0-60a86e0f489e" targetNamespace="http://schemas.microsoft.com/office/2006/metadata/properties" ma:root="true" ma:fieldsID="1f48dd158b03dc88cc944f50caaf8a51" ns1:_="" ns2:_="" ns3:_="">
    <xsd:import namespace="http://schemas.microsoft.com/sharepoint/v3"/>
    <xsd:import namespace="2910ae0d-d99b-43ae-b7eb-97dae584179d"/>
    <xsd:import namespace="26d01af8-568b-4240-9ff0-60a86e0f4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1:_ip_UnifiedCompliancePolicyProperties" minOccurs="0"/>
                <xsd:element ref="ns1:_ip_UnifiedCompliancePolicyUIActio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ea97f40-fef8-4a94-96f7-d65f1877b13a}" ma:internalName="TaxCatchAll" ma:showField="CatchAllData" ma:web="2910ae0d-d99b-43ae-b7eb-97dae58417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d01af8-568b-4240-9ff0-60a86e0f48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6E9D5-EC44-4188-BA7D-F17A3049F5B5}">
  <ds:schemaRefs>
    <ds:schemaRef ds:uri="http://purl.org/dc/elements/1.1/"/>
    <ds:schemaRef ds:uri="26d01af8-568b-4240-9ff0-60a86e0f489e"/>
    <ds:schemaRef ds:uri="http://schemas.microsoft.com/office/2006/documentManagement/types"/>
    <ds:schemaRef ds:uri="http://schemas.microsoft.com/sharepoint/v3"/>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910ae0d-d99b-43ae-b7eb-97dae584179d"/>
    <ds:schemaRef ds:uri="http://purl.org/dc/dcmitype/"/>
    <ds:schemaRef ds:uri="http://purl.org/dc/terms/"/>
  </ds:schemaRefs>
</ds:datastoreItem>
</file>

<file path=customXml/itemProps2.xml><?xml version="1.0" encoding="utf-8"?>
<ds:datastoreItem xmlns:ds="http://schemas.openxmlformats.org/officeDocument/2006/customXml" ds:itemID="{8D9012EF-7176-4FC9-A0EA-500339D17CD3}">
  <ds:schemaRefs>
    <ds:schemaRef ds:uri="http://schemas.microsoft.com/sharepoint/v3/contenttype/forms"/>
  </ds:schemaRefs>
</ds:datastoreItem>
</file>

<file path=customXml/itemProps3.xml><?xml version="1.0" encoding="utf-8"?>
<ds:datastoreItem xmlns:ds="http://schemas.openxmlformats.org/officeDocument/2006/customXml" ds:itemID="{B14290FF-EC9E-486A-93D0-9B929B19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10ae0d-d99b-43ae-b7eb-97dae584179d"/>
    <ds:schemaRef ds:uri="26d01af8-568b-4240-9ff0-60a86e0f4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Gray</dc:creator>
  <cp:lastModifiedBy>Gordon Kay</cp:lastModifiedBy>
  <cp:revision>2</cp:revision>
  <cp:lastPrinted>2021-09-22T15:05:00Z</cp:lastPrinted>
  <dcterms:created xsi:type="dcterms:W3CDTF">2022-09-26T13:55:00Z</dcterms:created>
  <dcterms:modified xsi:type="dcterms:W3CDTF">2022-09-26T13:55:00Z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Adobe InDesign CC 13.1 (Macintosh)</vt:lpwstr>
  </property>
  <property fmtid="{D5CDD505-2E9C-101B-9397-08002B2CF9AE}" pid="4" name="LastSaved">
    <vt:filetime>2018-06-12T00:00:00Z</vt:filetime>
  </property>
  <property fmtid="{D5CDD505-2E9C-101B-9397-08002B2CF9AE}" pid="5" name="ContentTypeId">
    <vt:lpwstr>0x0101002D4510305B8EAC49AD5BE925EE3A95EF</vt:lpwstr>
  </property>
  <property fmtid="{D5CDD505-2E9C-101B-9397-08002B2CF9AE}" pid="6" name="Order">
    <vt:r8>1329400</vt:r8>
  </property>
</Properties>
</file>