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A82B" w14:textId="5E9F45E0" w:rsidR="00F05B9E" w:rsidRDefault="00F05B9E"/>
    <w:sdt>
      <w:sdtPr>
        <w:id w:val="296805342"/>
        <w:docPartObj>
          <w:docPartGallery w:val="Cover Pages"/>
          <w:docPartUnique/>
        </w:docPartObj>
      </w:sdtPr>
      <w:sdtEndPr>
        <w:rPr>
          <w:rFonts w:ascii="Times New Roman"/>
          <w:bCs/>
          <w:sz w:val="20"/>
          <w:szCs w:val="134"/>
        </w:rPr>
      </w:sdtEndPr>
      <w:sdtContent>
        <w:p w14:paraId="25FCC520" w14:textId="73F7268F" w:rsidR="000906D7" w:rsidRDefault="00D76082">
          <w:r>
            <w:rPr>
              <w:noProof/>
            </w:rPr>
            <w:drawing>
              <wp:anchor distT="0" distB="0" distL="114300" distR="114300" simplePos="0" relativeHeight="251659264" behindDoc="1" locked="0" layoutInCell="1" allowOverlap="1" wp14:anchorId="627A4534" wp14:editId="6DE459DD">
                <wp:simplePos x="0" y="0"/>
                <wp:positionH relativeFrom="page">
                  <wp:align>right</wp:align>
                </wp:positionH>
                <wp:positionV relativeFrom="margin">
                  <wp:align>bottom</wp:align>
                </wp:positionV>
                <wp:extent cx="7534799" cy="10662691"/>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0">
                          <a:extLst>
                            <a:ext uri="{28A0092B-C50C-407E-A947-70E740481C1C}">
                              <a14:useLocalDpi xmlns:a14="http://schemas.microsoft.com/office/drawing/2010/main" val="0"/>
                            </a:ext>
                          </a:extLst>
                        </a:blip>
                        <a:stretch>
                          <a:fillRect/>
                        </a:stretch>
                      </pic:blipFill>
                      <pic:spPr>
                        <a:xfrm>
                          <a:off x="0" y="0"/>
                          <a:ext cx="7534799" cy="10662691"/>
                        </a:xfrm>
                        <a:prstGeom prst="rect">
                          <a:avLst/>
                        </a:prstGeom>
                      </pic:spPr>
                    </pic:pic>
                  </a:graphicData>
                </a:graphic>
                <wp14:sizeRelH relativeFrom="margin">
                  <wp14:pctWidth>0</wp14:pctWidth>
                </wp14:sizeRelH>
                <wp14:sizeRelV relativeFrom="margin">
                  <wp14:pctHeight>0</wp14:pctHeight>
                </wp14:sizeRelV>
              </wp:anchor>
            </w:drawing>
          </w:r>
        </w:p>
        <w:p w14:paraId="19202300" w14:textId="4B74E4BA" w:rsidR="00762126" w:rsidRPr="00F05B9E" w:rsidRDefault="00F05B9E" w:rsidP="00F05B9E">
          <w:pPr>
            <w:rPr>
              <w:rFonts w:ascii="Times New Roman"/>
              <w:bCs/>
              <w:sz w:val="20"/>
              <w:szCs w:val="134"/>
            </w:rPr>
          </w:pPr>
          <w:r w:rsidRPr="00907966">
            <w:rPr>
              <w:b/>
              <w:noProof/>
              <w:sz w:val="28"/>
              <w:szCs w:val="28"/>
            </w:rPr>
            <mc:AlternateContent>
              <mc:Choice Requires="wps">
                <w:drawing>
                  <wp:anchor distT="0" distB="0" distL="114300" distR="114300" simplePos="0" relativeHeight="251661312" behindDoc="0" locked="0" layoutInCell="1" allowOverlap="1" wp14:anchorId="26CE449E" wp14:editId="2C168E6B">
                    <wp:simplePos x="0" y="0"/>
                    <wp:positionH relativeFrom="margin">
                      <wp:posOffset>2565688</wp:posOffset>
                    </wp:positionH>
                    <wp:positionV relativeFrom="page">
                      <wp:posOffset>2699589</wp:posOffset>
                    </wp:positionV>
                    <wp:extent cx="3931200" cy="1854679"/>
                    <wp:effectExtent l="0" t="0" r="0" b="0"/>
                    <wp:wrapNone/>
                    <wp:docPr id="2" name="Text Box 2"/>
                    <wp:cNvGraphicFramePr/>
                    <a:graphic xmlns:a="http://schemas.openxmlformats.org/drawingml/2006/main">
                      <a:graphicData uri="http://schemas.microsoft.com/office/word/2010/wordprocessingShape">
                        <wps:wsp>
                          <wps:cNvSpPr txBox="1"/>
                          <wps:spPr>
                            <a:xfrm>
                              <a:off x="0" y="0"/>
                              <a:ext cx="3931200" cy="1854679"/>
                            </a:xfrm>
                            <a:prstGeom prst="rect">
                              <a:avLst/>
                            </a:prstGeom>
                            <a:noFill/>
                            <a:ln w="6350">
                              <a:noFill/>
                            </a:ln>
                          </wps:spPr>
                          <wps:txbx>
                            <w:txbxContent>
                              <w:p w14:paraId="4ED793EF" w14:textId="77777777" w:rsidR="00F05B9E" w:rsidRDefault="00F05B9E" w:rsidP="00F05B9E">
                                <w:pPr>
                                  <w:rPr>
                                    <w:rFonts w:ascii="Verdana" w:hAnsi="Verdana"/>
                                    <w:b/>
                                    <w:sz w:val="44"/>
                                    <w:szCs w:val="44"/>
                                  </w:rPr>
                                </w:pPr>
                                <w:r w:rsidRPr="000C4C2C">
                                  <w:rPr>
                                    <w:rFonts w:ascii="Verdana" w:hAnsi="Verdana"/>
                                    <w:b/>
                                    <w:sz w:val="44"/>
                                    <w:szCs w:val="44"/>
                                  </w:rPr>
                                  <w:t>External Assessment Timetable</w:t>
                                </w:r>
                                <w:r>
                                  <w:rPr>
                                    <w:rFonts w:ascii="Verdana" w:hAnsi="Verdana"/>
                                    <w:b/>
                                    <w:sz w:val="44"/>
                                    <w:szCs w:val="44"/>
                                  </w:rPr>
                                  <w:t xml:space="preserve"> –</w:t>
                                </w:r>
                              </w:p>
                              <w:p w14:paraId="3F531389" w14:textId="25C6AC3A" w:rsidR="00F05B9E" w:rsidRPr="000C4C2C" w:rsidRDefault="00F05B9E" w:rsidP="00F05B9E">
                                <w:pPr>
                                  <w:rPr>
                                    <w:rFonts w:ascii="Verdana" w:hAnsi="Verdana"/>
                                    <w:b/>
                                    <w:sz w:val="44"/>
                                    <w:szCs w:val="44"/>
                                  </w:rPr>
                                </w:pPr>
                                <w:r>
                                  <w:rPr>
                                    <w:rFonts w:ascii="Verdana" w:hAnsi="Verdana"/>
                                    <w:b/>
                                    <w:sz w:val="44"/>
                                    <w:szCs w:val="44"/>
                                  </w:rPr>
                                  <w:t xml:space="preserve">Comments and </w:t>
                                </w:r>
                                <w:r w:rsidR="00FC715D">
                                  <w:rPr>
                                    <w:rFonts w:ascii="Verdana" w:hAnsi="Verdana"/>
                                    <w:b/>
                                    <w:sz w:val="44"/>
                                    <w:szCs w:val="44"/>
                                  </w:rPr>
                                  <w:t>O</w:t>
                                </w:r>
                                <w:r>
                                  <w:rPr>
                                    <w:rFonts w:ascii="Verdana" w:hAnsi="Verdana"/>
                                    <w:b/>
                                    <w:sz w:val="44"/>
                                    <w:szCs w:val="44"/>
                                  </w:rPr>
                                  <w:t xml:space="preserve">utcomes </w:t>
                                </w:r>
                                <w:r w:rsidR="00FC715D">
                                  <w:rPr>
                                    <w:rFonts w:ascii="Verdana" w:hAnsi="Verdana"/>
                                    <w:b/>
                                    <w:sz w:val="44"/>
                                    <w:szCs w:val="44"/>
                                  </w:rPr>
                                  <w:t>P</w:t>
                                </w:r>
                                <w:r>
                                  <w:rPr>
                                    <w:rFonts w:ascii="Verdana" w:hAnsi="Verdana"/>
                                    <w:b/>
                                    <w:sz w:val="44"/>
                                    <w:szCs w:val="44"/>
                                  </w:rPr>
                                  <w:t>ublication 202</w:t>
                                </w:r>
                                <w:r w:rsidR="00272421">
                                  <w:rPr>
                                    <w:rFonts w:ascii="Verdana" w:hAnsi="Verdana"/>
                                    <w:b/>
                                    <w:sz w:val="44"/>
                                    <w:szCs w:val="44"/>
                                  </w:rPr>
                                  <w:t>2</w:t>
                                </w:r>
                                <w:r>
                                  <w:rPr>
                                    <w:rFonts w:ascii="Verdana" w:hAnsi="Verdana"/>
                                    <w:b/>
                                    <w:sz w:val="44"/>
                                    <w:szCs w:val="44"/>
                                  </w:rPr>
                                  <w:t>/2</w:t>
                                </w:r>
                                <w:r w:rsidR="00272421">
                                  <w:rPr>
                                    <w:rFonts w:ascii="Verdana" w:hAnsi="Verdana"/>
                                    <w:b/>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E449E" id="_x0000_t202" coordsize="21600,21600" o:spt="202" path="m,l,21600r21600,l21600,xe">
                    <v:stroke joinstyle="miter"/>
                    <v:path gradientshapeok="t" o:connecttype="rect"/>
                  </v:shapetype>
                  <v:shape id="Text Box 2" o:spid="_x0000_s1026" type="#_x0000_t202" style="position:absolute;margin-left:202pt;margin-top:212.55pt;width:309.55pt;height:14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" filled="f" stroked="f" strokeweight=".5pt">
                    <v:textbox>
                      <w:txbxContent>
                        <w:p w14:paraId="4ED793EF" w14:textId="77777777" w:rsidR="00F05B9E" w:rsidRDefault="00F05B9E" w:rsidP="00F05B9E">
                          <w:pPr>
                            <w:rPr>
                              <w:rFonts w:ascii="Verdana" w:hAnsi="Verdana"/>
                              <w:b/>
                              <w:sz w:val="44"/>
                              <w:szCs w:val="44"/>
                            </w:rPr>
                          </w:pPr>
                          <w:r w:rsidRPr="000C4C2C">
                            <w:rPr>
                              <w:rFonts w:ascii="Verdana" w:hAnsi="Verdana"/>
                              <w:b/>
                              <w:sz w:val="44"/>
                              <w:szCs w:val="44"/>
                            </w:rPr>
                            <w:t>External Assessment Timetable</w:t>
                          </w:r>
                          <w:r>
                            <w:rPr>
                              <w:rFonts w:ascii="Verdana" w:hAnsi="Verdana"/>
                              <w:b/>
                              <w:sz w:val="44"/>
                              <w:szCs w:val="44"/>
                            </w:rPr>
                            <w:t xml:space="preserve"> –</w:t>
                          </w:r>
                        </w:p>
                        <w:p w14:paraId="3F531389" w14:textId="25C6AC3A" w:rsidR="00F05B9E" w:rsidRPr="000C4C2C" w:rsidRDefault="00F05B9E" w:rsidP="00F05B9E">
                          <w:pPr>
                            <w:rPr>
                              <w:rFonts w:ascii="Verdana" w:hAnsi="Verdana"/>
                              <w:b/>
                              <w:sz w:val="44"/>
                              <w:szCs w:val="44"/>
                            </w:rPr>
                          </w:pPr>
                          <w:r>
                            <w:rPr>
                              <w:rFonts w:ascii="Verdana" w:hAnsi="Verdana"/>
                              <w:b/>
                              <w:sz w:val="44"/>
                              <w:szCs w:val="44"/>
                            </w:rPr>
                            <w:t xml:space="preserve">Comments and </w:t>
                          </w:r>
                          <w:r w:rsidR="00FC715D">
                            <w:rPr>
                              <w:rFonts w:ascii="Verdana" w:hAnsi="Verdana"/>
                              <w:b/>
                              <w:sz w:val="44"/>
                              <w:szCs w:val="44"/>
                            </w:rPr>
                            <w:t>O</w:t>
                          </w:r>
                          <w:r>
                            <w:rPr>
                              <w:rFonts w:ascii="Verdana" w:hAnsi="Verdana"/>
                              <w:b/>
                              <w:sz w:val="44"/>
                              <w:szCs w:val="44"/>
                            </w:rPr>
                            <w:t xml:space="preserve">utcomes </w:t>
                          </w:r>
                          <w:r w:rsidR="00FC715D">
                            <w:rPr>
                              <w:rFonts w:ascii="Verdana" w:hAnsi="Verdana"/>
                              <w:b/>
                              <w:sz w:val="44"/>
                              <w:szCs w:val="44"/>
                            </w:rPr>
                            <w:t>P</w:t>
                          </w:r>
                          <w:r>
                            <w:rPr>
                              <w:rFonts w:ascii="Verdana" w:hAnsi="Verdana"/>
                              <w:b/>
                              <w:sz w:val="44"/>
                              <w:szCs w:val="44"/>
                            </w:rPr>
                            <w:t>ublication 202</w:t>
                          </w:r>
                          <w:r w:rsidR="00272421">
                            <w:rPr>
                              <w:rFonts w:ascii="Verdana" w:hAnsi="Verdana"/>
                              <w:b/>
                              <w:sz w:val="44"/>
                              <w:szCs w:val="44"/>
                            </w:rPr>
                            <w:t>2</w:t>
                          </w:r>
                          <w:r>
                            <w:rPr>
                              <w:rFonts w:ascii="Verdana" w:hAnsi="Verdana"/>
                              <w:b/>
                              <w:sz w:val="44"/>
                              <w:szCs w:val="44"/>
                            </w:rPr>
                            <w:t>/2</w:t>
                          </w:r>
                          <w:r w:rsidR="00272421">
                            <w:rPr>
                              <w:rFonts w:ascii="Verdana" w:hAnsi="Verdana"/>
                              <w:b/>
                              <w:sz w:val="44"/>
                              <w:szCs w:val="44"/>
                            </w:rPr>
                            <w:t>3</w:t>
                          </w:r>
                        </w:p>
                      </w:txbxContent>
                    </v:textbox>
                    <w10:wrap anchorx="margin" anchory="page"/>
                  </v:shape>
                </w:pict>
              </mc:Fallback>
            </mc:AlternateContent>
          </w:r>
          <w:r w:rsidR="000906D7">
            <w:rPr>
              <w:rFonts w:ascii="Times New Roman"/>
              <w:bCs/>
              <w:sz w:val="20"/>
              <w:szCs w:val="134"/>
            </w:rPr>
            <w:br w:type="page"/>
          </w:r>
        </w:p>
      </w:sdtContent>
    </w:sdt>
    <w:p w14:paraId="54919CAD" w14:textId="77777777" w:rsidR="00A629AC" w:rsidRDefault="00A629AC" w:rsidP="005742A7">
      <w:pPr>
        <w:rPr>
          <w:rFonts w:ascii="Verdana" w:hAnsi="Verdana"/>
          <w:b/>
          <w:bCs/>
          <w:sz w:val="32"/>
          <w:szCs w:val="32"/>
        </w:rPr>
      </w:pPr>
    </w:p>
    <w:p w14:paraId="03E9FE12" w14:textId="77777777" w:rsidR="00A629AC" w:rsidRDefault="00A629AC" w:rsidP="005742A7">
      <w:pPr>
        <w:rPr>
          <w:rFonts w:ascii="Verdana" w:hAnsi="Verdana"/>
          <w:b/>
          <w:bCs/>
          <w:sz w:val="32"/>
          <w:szCs w:val="32"/>
        </w:rPr>
      </w:pPr>
    </w:p>
    <w:p w14:paraId="51217690" w14:textId="71347143" w:rsidR="00762126" w:rsidRPr="00F05B9E" w:rsidRDefault="007663FF" w:rsidP="005742A7">
      <w:pPr>
        <w:rPr>
          <w:rFonts w:ascii="Verdana" w:hAnsi="Verdana"/>
          <w:b/>
          <w:bCs/>
          <w:sz w:val="32"/>
          <w:szCs w:val="32"/>
        </w:rPr>
      </w:pPr>
      <w:r w:rsidRPr="00F05B9E">
        <w:rPr>
          <w:rFonts w:ascii="Verdana" w:hAnsi="Verdana"/>
          <w:b/>
          <w:bCs/>
          <w:sz w:val="32"/>
          <w:szCs w:val="32"/>
        </w:rPr>
        <w:t>Background</w:t>
      </w:r>
    </w:p>
    <w:p w14:paraId="0575D2EF" w14:textId="77777777" w:rsidR="00995CC7" w:rsidRDefault="00995CC7" w:rsidP="007663FF">
      <w:pPr>
        <w:pStyle w:val="Default"/>
        <w:rPr>
          <w:rFonts w:ascii="Arial" w:hAnsi="Arial" w:cs="Arial"/>
          <w:szCs w:val="22"/>
        </w:rPr>
      </w:pPr>
    </w:p>
    <w:p w14:paraId="19F906DE" w14:textId="755295D2" w:rsidR="007663FF" w:rsidRPr="00F05B9E" w:rsidRDefault="00E4291C" w:rsidP="007663FF">
      <w:pPr>
        <w:pStyle w:val="Default"/>
        <w:rPr>
          <w:rFonts w:ascii="Verdana" w:hAnsi="Verdana" w:cs="Arial"/>
          <w:sz w:val="22"/>
          <w:szCs w:val="22"/>
        </w:rPr>
      </w:pPr>
      <w:r w:rsidRPr="00F05B9E">
        <w:rPr>
          <w:rFonts w:ascii="Verdana" w:hAnsi="Verdana" w:cs="Arial"/>
          <w:sz w:val="22"/>
          <w:szCs w:val="22"/>
        </w:rPr>
        <w:t>Each year</w:t>
      </w:r>
      <w:r w:rsidR="007663FF" w:rsidRPr="00F05B9E">
        <w:rPr>
          <w:rFonts w:ascii="Verdana" w:hAnsi="Verdana" w:cs="Arial"/>
          <w:sz w:val="22"/>
          <w:szCs w:val="22"/>
        </w:rPr>
        <w:t xml:space="preserve"> we </w:t>
      </w:r>
      <w:r w:rsidRPr="00F05B9E">
        <w:rPr>
          <w:rFonts w:ascii="Verdana" w:hAnsi="Verdana" w:cs="Arial"/>
          <w:sz w:val="22"/>
          <w:szCs w:val="22"/>
        </w:rPr>
        <w:t>timetable</w:t>
      </w:r>
      <w:r w:rsidR="007663FF" w:rsidRPr="00F05B9E">
        <w:rPr>
          <w:rFonts w:ascii="Verdana" w:hAnsi="Verdana" w:cs="Arial"/>
          <w:sz w:val="22"/>
          <w:szCs w:val="22"/>
        </w:rPr>
        <w:t xml:space="preserve"> new assessment dates/windows for the academic session, two years in advance of the current session. For example</w:t>
      </w:r>
      <w:r w:rsidR="007F0C59" w:rsidRPr="00F05B9E">
        <w:rPr>
          <w:rFonts w:ascii="Verdana" w:hAnsi="Verdana" w:cs="Arial"/>
          <w:sz w:val="22"/>
          <w:szCs w:val="22"/>
        </w:rPr>
        <w:t>,</w:t>
      </w:r>
      <w:r w:rsidR="007663FF" w:rsidRPr="00F05B9E">
        <w:rPr>
          <w:rFonts w:ascii="Verdana" w:hAnsi="Verdana" w:cs="Arial"/>
          <w:sz w:val="22"/>
          <w:szCs w:val="22"/>
        </w:rPr>
        <w:t xml:space="preserve"> </w:t>
      </w:r>
      <w:r w:rsidR="000C6E5E" w:rsidRPr="00F05B9E">
        <w:rPr>
          <w:rFonts w:ascii="Verdana" w:hAnsi="Verdana" w:cs="Arial"/>
          <w:sz w:val="22"/>
          <w:szCs w:val="22"/>
        </w:rPr>
        <w:t>in the 20</w:t>
      </w:r>
      <w:r w:rsidR="008A08DF" w:rsidRPr="00F05B9E">
        <w:rPr>
          <w:rFonts w:ascii="Verdana" w:hAnsi="Verdana" w:cs="Arial"/>
          <w:sz w:val="22"/>
          <w:szCs w:val="22"/>
        </w:rPr>
        <w:t>2</w:t>
      </w:r>
      <w:r w:rsidR="00272421">
        <w:rPr>
          <w:rFonts w:ascii="Verdana" w:hAnsi="Verdana" w:cs="Arial"/>
          <w:sz w:val="22"/>
          <w:szCs w:val="22"/>
        </w:rPr>
        <w:t>1</w:t>
      </w:r>
      <w:r w:rsidR="000C6E5E" w:rsidRPr="00F05B9E">
        <w:rPr>
          <w:rFonts w:ascii="Verdana" w:hAnsi="Verdana" w:cs="Arial"/>
          <w:sz w:val="22"/>
          <w:szCs w:val="22"/>
        </w:rPr>
        <w:t>/</w:t>
      </w:r>
      <w:r w:rsidR="008A08DF" w:rsidRPr="00F05B9E">
        <w:rPr>
          <w:rFonts w:ascii="Verdana" w:hAnsi="Verdana" w:cs="Arial"/>
          <w:sz w:val="22"/>
          <w:szCs w:val="22"/>
        </w:rPr>
        <w:t>2</w:t>
      </w:r>
      <w:r w:rsidR="00272421">
        <w:rPr>
          <w:rFonts w:ascii="Verdana" w:hAnsi="Verdana" w:cs="Arial"/>
          <w:sz w:val="22"/>
          <w:szCs w:val="22"/>
        </w:rPr>
        <w:t>2</w:t>
      </w:r>
      <w:r w:rsidR="007663FF" w:rsidRPr="00F05B9E">
        <w:rPr>
          <w:rFonts w:ascii="Verdana" w:hAnsi="Verdana" w:cs="Arial"/>
          <w:sz w:val="22"/>
          <w:szCs w:val="22"/>
        </w:rPr>
        <w:t xml:space="preserve"> session, we</w:t>
      </w:r>
      <w:r w:rsidR="00A518BA">
        <w:rPr>
          <w:rFonts w:ascii="Verdana" w:hAnsi="Verdana" w:cs="Arial"/>
          <w:sz w:val="22"/>
          <w:szCs w:val="22"/>
        </w:rPr>
        <w:t xml:space="preserve"> woul</w:t>
      </w:r>
      <w:r w:rsidRPr="00F05B9E">
        <w:rPr>
          <w:rFonts w:ascii="Verdana" w:hAnsi="Verdana" w:cs="Arial"/>
          <w:sz w:val="22"/>
          <w:szCs w:val="22"/>
        </w:rPr>
        <w:t xml:space="preserve">d timetable and publish </w:t>
      </w:r>
      <w:r w:rsidR="007663FF" w:rsidRPr="00F05B9E">
        <w:rPr>
          <w:rFonts w:ascii="Verdana" w:hAnsi="Verdana" w:cs="Arial"/>
          <w:sz w:val="22"/>
          <w:szCs w:val="22"/>
        </w:rPr>
        <w:t>new</w:t>
      </w:r>
      <w:r w:rsidR="000C6E5E" w:rsidRPr="00F05B9E">
        <w:rPr>
          <w:rFonts w:ascii="Verdana" w:hAnsi="Verdana" w:cs="Arial"/>
          <w:sz w:val="22"/>
          <w:szCs w:val="22"/>
        </w:rPr>
        <w:t xml:space="preserve"> assessment dates for the 202</w:t>
      </w:r>
      <w:r w:rsidR="00272421">
        <w:rPr>
          <w:rFonts w:ascii="Verdana" w:hAnsi="Verdana" w:cs="Arial"/>
          <w:sz w:val="22"/>
          <w:szCs w:val="22"/>
        </w:rPr>
        <w:t>3</w:t>
      </w:r>
      <w:r w:rsidR="000C6E5E" w:rsidRPr="00F05B9E">
        <w:rPr>
          <w:rFonts w:ascii="Verdana" w:hAnsi="Verdana" w:cs="Arial"/>
          <w:sz w:val="22"/>
          <w:szCs w:val="22"/>
        </w:rPr>
        <w:t>/</w:t>
      </w:r>
      <w:r w:rsidR="007663FF" w:rsidRPr="00F05B9E">
        <w:rPr>
          <w:rFonts w:ascii="Verdana" w:hAnsi="Verdana" w:cs="Arial"/>
          <w:sz w:val="22"/>
          <w:szCs w:val="22"/>
        </w:rPr>
        <w:t>2</w:t>
      </w:r>
      <w:r w:rsidR="00272421">
        <w:rPr>
          <w:rFonts w:ascii="Verdana" w:hAnsi="Verdana" w:cs="Arial"/>
          <w:sz w:val="22"/>
          <w:szCs w:val="22"/>
        </w:rPr>
        <w:t>4</w:t>
      </w:r>
      <w:r w:rsidR="007663FF" w:rsidRPr="00F05B9E">
        <w:rPr>
          <w:rFonts w:ascii="Verdana" w:hAnsi="Verdana" w:cs="Arial"/>
          <w:sz w:val="22"/>
          <w:szCs w:val="22"/>
        </w:rPr>
        <w:t xml:space="preserve"> session</w:t>
      </w:r>
      <w:r w:rsidRPr="00F05B9E">
        <w:rPr>
          <w:rFonts w:ascii="Verdana" w:hAnsi="Verdana" w:cs="Arial"/>
          <w:sz w:val="22"/>
          <w:szCs w:val="22"/>
        </w:rPr>
        <w:t>. This e</w:t>
      </w:r>
      <w:r w:rsidR="007663FF" w:rsidRPr="00F05B9E">
        <w:rPr>
          <w:rFonts w:ascii="Verdana" w:hAnsi="Verdana" w:cs="Arial"/>
          <w:sz w:val="22"/>
          <w:szCs w:val="22"/>
        </w:rPr>
        <w:t>nsure</w:t>
      </w:r>
      <w:r w:rsidRPr="00F05B9E">
        <w:rPr>
          <w:rFonts w:ascii="Verdana" w:hAnsi="Verdana" w:cs="Arial"/>
          <w:sz w:val="22"/>
          <w:szCs w:val="22"/>
        </w:rPr>
        <w:t>s</w:t>
      </w:r>
      <w:r w:rsidR="007663FF" w:rsidRPr="00F05B9E">
        <w:rPr>
          <w:rFonts w:ascii="Verdana" w:hAnsi="Verdana" w:cs="Arial"/>
          <w:sz w:val="22"/>
          <w:szCs w:val="22"/>
        </w:rPr>
        <w:t xml:space="preserve"> we provide centres with a minimum of 2 years’ worth of external assessment opportunities to book their learners onto. </w:t>
      </w:r>
    </w:p>
    <w:p w14:paraId="01892E85" w14:textId="77777777" w:rsidR="007663FF" w:rsidRPr="00F05B9E" w:rsidRDefault="007663FF" w:rsidP="007663FF">
      <w:pPr>
        <w:pStyle w:val="Default"/>
        <w:rPr>
          <w:rFonts w:ascii="Verdana" w:hAnsi="Verdana" w:cs="Arial"/>
          <w:sz w:val="22"/>
          <w:szCs w:val="22"/>
        </w:rPr>
      </w:pPr>
    </w:p>
    <w:p w14:paraId="06CA5CD1" w14:textId="58CEC26A" w:rsidR="007663FF" w:rsidRPr="00F05B9E" w:rsidRDefault="007663FF" w:rsidP="007663FF">
      <w:pPr>
        <w:pStyle w:val="Default"/>
        <w:rPr>
          <w:rFonts w:ascii="Verdana" w:hAnsi="Verdana" w:cs="Arial"/>
          <w:sz w:val="22"/>
          <w:szCs w:val="22"/>
        </w:rPr>
      </w:pPr>
      <w:r w:rsidRPr="00F05B9E">
        <w:rPr>
          <w:rFonts w:ascii="Verdana" w:hAnsi="Verdana" w:cs="Arial"/>
          <w:sz w:val="22"/>
          <w:szCs w:val="22"/>
        </w:rPr>
        <w:t xml:space="preserve">Our approach is consistent with the approach taken by JCQ when constructing their Common Timetable, in that we actively seek out centre comment and feedback on our provisional dates before they’re confirmed and published on our website. </w:t>
      </w:r>
    </w:p>
    <w:p w14:paraId="0F0554B2" w14:textId="5A8EF1A0" w:rsidR="007663FF" w:rsidRPr="00F05B9E" w:rsidRDefault="007663FF" w:rsidP="007663FF">
      <w:pPr>
        <w:pStyle w:val="Default"/>
        <w:rPr>
          <w:rFonts w:ascii="Verdana" w:hAnsi="Verdana" w:cs="Arial"/>
          <w:sz w:val="22"/>
          <w:szCs w:val="22"/>
        </w:rPr>
      </w:pPr>
    </w:p>
    <w:p w14:paraId="62D2B575" w14:textId="77777777" w:rsidR="007663FF" w:rsidRPr="00F05B9E" w:rsidRDefault="007663FF" w:rsidP="007663FF">
      <w:pPr>
        <w:pStyle w:val="Default"/>
        <w:rPr>
          <w:rFonts w:ascii="Verdana" w:hAnsi="Verdana" w:cs="Arial"/>
          <w:sz w:val="32"/>
          <w:szCs w:val="32"/>
        </w:rPr>
      </w:pPr>
      <w:r w:rsidRPr="00F05B9E">
        <w:rPr>
          <w:rFonts w:ascii="Verdana" w:hAnsi="Verdana" w:cs="Arial"/>
          <w:b/>
          <w:bCs/>
          <w:sz w:val="32"/>
          <w:szCs w:val="32"/>
        </w:rPr>
        <w:t xml:space="preserve">Opportunity to comment </w:t>
      </w:r>
    </w:p>
    <w:p w14:paraId="2534F69E" w14:textId="77777777" w:rsidR="00995CC7" w:rsidRDefault="00995CC7" w:rsidP="007663FF">
      <w:pPr>
        <w:pStyle w:val="Default"/>
        <w:rPr>
          <w:rFonts w:ascii="Arial" w:hAnsi="Arial" w:cs="Arial"/>
          <w:szCs w:val="22"/>
        </w:rPr>
      </w:pPr>
    </w:p>
    <w:p w14:paraId="488834CD" w14:textId="36C89BA1" w:rsidR="007663FF" w:rsidRPr="00F05B9E" w:rsidRDefault="000C6E5E" w:rsidP="007663FF">
      <w:pPr>
        <w:pStyle w:val="Default"/>
        <w:rPr>
          <w:rFonts w:ascii="Verdana" w:hAnsi="Verdana" w:cs="Arial"/>
          <w:sz w:val="22"/>
          <w:szCs w:val="22"/>
        </w:rPr>
      </w:pPr>
      <w:r w:rsidRPr="00F05B9E">
        <w:rPr>
          <w:rFonts w:ascii="Verdana" w:hAnsi="Verdana" w:cs="Arial"/>
          <w:sz w:val="22"/>
          <w:szCs w:val="22"/>
        </w:rPr>
        <w:t>When setting the 202</w:t>
      </w:r>
      <w:r w:rsidR="005B57F4">
        <w:rPr>
          <w:rFonts w:ascii="Verdana" w:hAnsi="Verdana" w:cs="Arial"/>
          <w:sz w:val="22"/>
          <w:szCs w:val="22"/>
        </w:rPr>
        <w:t>3</w:t>
      </w:r>
      <w:r w:rsidRPr="00F05B9E">
        <w:rPr>
          <w:rFonts w:ascii="Verdana" w:hAnsi="Verdana" w:cs="Arial"/>
          <w:sz w:val="22"/>
          <w:szCs w:val="22"/>
        </w:rPr>
        <w:t>/</w:t>
      </w:r>
      <w:r w:rsidR="007663FF" w:rsidRPr="00F05B9E">
        <w:rPr>
          <w:rFonts w:ascii="Verdana" w:hAnsi="Verdana" w:cs="Arial"/>
          <w:sz w:val="22"/>
          <w:szCs w:val="22"/>
        </w:rPr>
        <w:t>2</w:t>
      </w:r>
      <w:r w:rsidR="005B57F4">
        <w:rPr>
          <w:rFonts w:ascii="Verdana" w:hAnsi="Verdana" w:cs="Arial"/>
          <w:sz w:val="22"/>
          <w:szCs w:val="22"/>
        </w:rPr>
        <w:t>4</w:t>
      </w:r>
      <w:r w:rsidR="007663FF" w:rsidRPr="00F05B9E">
        <w:rPr>
          <w:rFonts w:ascii="Verdana" w:hAnsi="Verdana" w:cs="Arial"/>
          <w:sz w:val="22"/>
          <w:szCs w:val="22"/>
        </w:rPr>
        <w:t xml:space="preserve"> external assessment dates, we opened a period of consultation to enable centres to share their comments and feedback on the provisional dates chosen. This period of consultation ran from April until </w:t>
      </w:r>
      <w:r w:rsidR="00D123A5">
        <w:rPr>
          <w:rFonts w:ascii="Verdana" w:hAnsi="Verdana" w:cs="Arial"/>
          <w:sz w:val="22"/>
          <w:szCs w:val="22"/>
        </w:rPr>
        <w:t>May</w:t>
      </w:r>
      <w:r w:rsidR="007663FF" w:rsidRPr="00F05B9E">
        <w:rPr>
          <w:rFonts w:ascii="Verdana" w:hAnsi="Verdana" w:cs="Arial"/>
          <w:sz w:val="22"/>
          <w:szCs w:val="22"/>
        </w:rPr>
        <w:t xml:space="preserve"> 20</w:t>
      </w:r>
      <w:r w:rsidR="007F0C59" w:rsidRPr="00F05B9E">
        <w:rPr>
          <w:rFonts w:ascii="Verdana" w:hAnsi="Verdana" w:cs="Arial"/>
          <w:sz w:val="22"/>
          <w:szCs w:val="22"/>
        </w:rPr>
        <w:t>21</w:t>
      </w:r>
      <w:r w:rsidR="007663FF" w:rsidRPr="00F05B9E">
        <w:rPr>
          <w:rFonts w:ascii="Verdana" w:hAnsi="Verdana" w:cs="Arial"/>
          <w:sz w:val="22"/>
          <w:szCs w:val="22"/>
        </w:rPr>
        <w:t xml:space="preserve">. This period was highlighted through various channels including newsletters, websites and social media. </w:t>
      </w:r>
      <w:r w:rsidR="00D123A5">
        <w:rPr>
          <w:rFonts w:ascii="Verdana" w:hAnsi="Verdana" w:cs="Arial"/>
          <w:sz w:val="22"/>
          <w:szCs w:val="22"/>
        </w:rPr>
        <w:t xml:space="preserve">We followed this with a follow-up consultation on changes proposed </w:t>
      </w:r>
      <w:r w:rsidR="00804282">
        <w:rPr>
          <w:rFonts w:ascii="Verdana" w:hAnsi="Verdana" w:cs="Arial"/>
          <w:sz w:val="22"/>
          <w:szCs w:val="22"/>
        </w:rPr>
        <w:t>from</w:t>
      </w:r>
      <w:r w:rsidR="00D123A5">
        <w:rPr>
          <w:rFonts w:ascii="Verdana" w:hAnsi="Verdana" w:cs="Arial"/>
          <w:sz w:val="22"/>
          <w:szCs w:val="22"/>
        </w:rPr>
        <w:t xml:space="preserve"> the initial </w:t>
      </w:r>
      <w:r w:rsidR="00804282">
        <w:rPr>
          <w:rFonts w:ascii="Verdana" w:hAnsi="Verdana" w:cs="Arial"/>
          <w:sz w:val="22"/>
          <w:szCs w:val="22"/>
        </w:rPr>
        <w:t>responses. This took place in June 2022.</w:t>
      </w:r>
    </w:p>
    <w:p w14:paraId="2C5E7A82" w14:textId="77777777" w:rsidR="007663FF" w:rsidRPr="00F05B9E" w:rsidRDefault="007663FF" w:rsidP="007663FF">
      <w:pPr>
        <w:pStyle w:val="Default"/>
        <w:rPr>
          <w:rFonts w:ascii="Verdana" w:hAnsi="Verdana" w:cs="Arial"/>
          <w:sz w:val="22"/>
          <w:szCs w:val="22"/>
        </w:rPr>
      </w:pPr>
    </w:p>
    <w:p w14:paraId="7D159684" w14:textId="5CC0E865" w:rsidR="007663FF" w:rsidRPr="00F05B9E" w:rsidRDefault="007663FF" w:rsidP="00EF2376">
      <w:pPr>
        <w:pStyle w:val="Default"/>
        <w:rPr>
          <w:rFonts w:ascii="Verdana" w:hAnsi="Verdana" w:cs="Arial"/>
          <w:b/>
          <w:sz w:val="22"/>
          <w:szCs w:val="22"/>
        </w:rPr>
      </w:pPr>
      <w:r w:rsidRPr="00F05B9E">
        <w:rPr>
          <w:rFonts w:ascii="Verdana" w:hAnsi="Verdana" w:cs="Arial"/>
          <w:sz w:val="22"/>
          <w:szCs w:val="22"/>
        </w:rPr>
        <w:t xml:space="preserve">For details on how and when the External Assessment Timetable is constructed, please </w:t>
      </w:r>
      <w:r w:rsidR="00EF2376" w:rsidRPr="00F05B9E">
        <w:rPr>
          <w:rFonts w:ascii="Verdana" w:hAnsi="Verdana" w:cs="Arial"/>
          <w:sz w:val="22"/>
          <w:szCs w:val="22"/>
        </w:rPr>
        <w:t xml:space="preserve">refer to our Construction of the External Assessment publication on our website. </w:t>
      </w:r>
    </w:p>
    <w:p w14:paraId="403C32AD" w14:textId="77777777" w:rsidR="007663FF" w:rsidRPr="007663FF" w:rsidRDefault="007663FF" w:rsidP="007663FF">
      <w:pPr>
        <w:pStyle w:val="Default"/>
        <w:rPr>
          <w:rFonts w:ascii="Arial" w:hAnsi="Arial" w:cs="Arial"/>
          <w:szCs w:val="22"/>
        </w:rPr>
      </w:pPr>
    </w:p>
    <w:p w14:paraId="0EE8F015" w14:textId="77777777" w:rsidR="007663FF" w:rsidRPr="00F05B9E" w:rsidRDefault="007663FF" w:rsidP="007663FF">
      <w:pPr>
        <w:pStyle w:val="Default"/>
        <w:rPr>
          <w:rFonts w:ascii="Verdana" w:hAnsi="Verdana" w:cs="Arial"/>
          <w:sz w:val="32"/>
          <w:szCs w:val="32"/>
        </w:rPr>
      </w:pPr>
      <w:r w:rsidRPr="00F05B9E">
        <w:rPr>
          <w:rFonts w:ascii="Verdana" w:hAnsi="Verdana" w:cs="Arial"/>
          <w:b/>
          <w:bCs/>
          <w:sz w:val="32"/>
          <w:szCs w:val="32"/>
        </w:rPr>
        <w:t>Outcome</w:t>
      </w:r>
    </w:p>
    <w:p w14:paraId="194F103A" w14:textId="77777777" w:rsidR="007663FF" w:rsidRDefault="007663FF" w:rsidP="007663FF">
      <w:pPr>
        <w:pStyle w:val="Default"/>
        <w:rPr>
          <w:sz w:val="22"/>
          <w:szCs w:val="22"/>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038"/>
        <w:gridCol w:w="3038"/>
      </w:tblGrid>
      <w:tr w:rsidR="007663FF" w:rsidRPr="00AA6F6E" w14:paraId="451486CC" w14:textId="77777777" w:rsidTr="004E7DE8">
        <w:trPr>
          <w:trHeight w:val="268"/>
        </w:trPr>
        <w:tc>
          <w:tcPr>
            <w:tcW w:w="3038" w:type="dxa"/>
          </w:tcPr>
          <w:p w14:paraId="092E3633" w14:textId="071E1FC7" w:rsidR="007663FF" w:rsidRPr="00F05B9E" w:rsidRDefault="007663FF" w:rsidP="004E7DE8">
            <w:pPr>
              <w:adjustRightInd w:val="0"/>
              <w:rPr>
                <w:rFonts w:ascii="Verdana" w:hAnsi="Verdana"/>
                <w:b/>
                <w:color w:val="000000"/>
              </w:rPr>
            </w:pPr>
            <w:r w:rsidRPr="00F05B9E">
              <w:rPr>
                <w:rFonts w:ascii="Verdana" w:hAnsi="Verdana"/>
                <w:b/>
                <w:color w:val="000000"/>
              </w:rPr>
              <w:t xml:space="preserve">Comments received by NCFE </w:t>
            </w:r>
          </w:p>
        </w:tc>
        <w:tc>
          <w:tcPr>
            <w:tcW w:w="3038" w:type="dxa"/>
          </w:tcPr>
          <w:p w14:paraId="4CE1EDB0" w14:textId="77777777" w:rsidR="007663FF" w:rsidRPr="00F05B9E" w:rsidRDefault="007663FF" w:rsidP="004E7DE8">
            <w:pPr>
              <w:adjustRightInd w:val="0"/>
              <w:rPr>
                <w:rFonts w:ascii="Verdana" w:hAnsi="Verdana"/>
                <w:b/>
                <w:color w:val="000000"/>
              </w:rPr>
            </w:pPr>
            <w:r w:rsidRPr="00F05B9E">
              <w:rPr>
                <w:rFonts w:ascii="Verdana" w:hAnsi="Verdana"/>
                <w:b/>
                <w:color w:val="000000"/>
              </w:rPr>
              <w:t xml:space="preserve">Number of centres </w:t>
            </w:r>
          </w:p>
        </w:tc>
        <w:tc>
          <w:tcPr>
            <w:tcW w:w="3038" w:type="dxa"/>
          </w:tcPr>
          <w:p w14:paraId="12684465" w14:textId="77777777" w:rsidR="007663FF" w:rsidRPr="00F05B9E" w:rsidRDefault="007663FF" w:rsidP="004E7DE8">
            <w:pPr>
              <w:adjustRightInd w:val="0"/>
              <w:rPr>
                <w:rFonts w:ascii="Verdana" w:hAnsi="Verdana"/>
                <w:b/>
                <w:color w:val="000000"/>
              </w:rPr>
            </w:pPr>
            <w:r w:rsidRPr="00F05B9E">
              <w:rPr>
                <w:rFonts w:ascii="Verdana" w:hAnsi="Verdana"/>
                <w:b/>
                <w:color w:val="000000"/>
              </w:rPr>
              <w:t xml:space="preserve">Type of centre </w:t>
            </w:r>
          </w:p>
        </w:tc>
      </w:tr>
      <w:tr w:rsidR="007663FF" w:rsidRPr="00AA6F6E" w14:paraId="22017965" w14:textId="77777777" w:rsidTr="004E7DE8">
        <w:trPr>
          <w:trHeight w:val="925"/>
        </w:trPr>
        <w:tc>
          <w:tcPr>
            <w:tcW w:w="3038" w:type="dxa"/>
          </w:tcPr>
          <w:p w14:paraId="3F840B1D" w14:textId="7FA093B4" w:rsidR="007663FF" w:rsidRPr="00F05B9E" w:rsidRDefault="007663FF" w:rsidP="004E7DE8">
            <w:pPr>
              <w:adjustRightInd w:val="0"/>
              <w:rPr>
                <w:rFonts w:ascii="Verdana" w:hAnsi="Verdana"/>
                <w:color w:val="000000"/>
              </w:rPr>
            </w:pPr>
            <w:r w:rsidRPr="00F05B9E">
              <w:rPr>
                <w:rFonts w:ascii="Verdana" w:hAnsi="Verdana"/>
                <w:color w:val="000000"/>
              </w:rPr>
              <w:t xml:space="preserve"> </w:t>
            </w:r>
            <w:r w:rsidR="00EB0575">
              <w:rPr>
                <w:rFonts w:ascii="Verdana" w:hAnsi="Verdana"/>
                <w:color w:val="000000"/>
              </w:rPr>
              <w:t>8</w:t>
            </w:r>
          </w:p>
        </w:tc>
        <w:tc>
          <w:tcPr>
            <w:tcW w:w="3038" w:type="dxa"/>
          </w:tcPr>
          <w:p w14:paraId="47AB2A8E" w14:textId="56F4507C" w:rsidR="007663FF" w:rsidRPr="00F05B9E" w:rsidRDefault="00EB0575" w:rsidP="004E7DE8">
            <w:pPr>
              <w:adjustRightInd w:val="0"/>
              <w:rPr>
                <w:rFonts w:ascii="Verdana" w:hAnsi="Verdana"/>
                <w:color w:val="000000"/>
              </w:rPr>
            </w:pPr>
            <w:r>
              <w:rPr>
                <w:rFonts w:ascii="Verdana" w:hAnsi="Verdana"/>
                <w:color w:val="000000"/>
              </w:rPr>
              <w:t>8</w:t>
            </w:r>
          </w:p>
        </w:tc>
        <w:tc>
          <w:tcPr>
            <w:tcW w:w="3038" w:type="dxa"/>
          </w:tcPr>
          <w:p w14:paraId="0C8C6D52" w14:textId="74D93BBF" w:rsidR="007663FF" w:rsidRPr="00F05B9E" w:rsidRDefault="00EB0575" w:rsidP="004E7DE8">
            <w:pPr>
              <w:adjustRightInd w:val="0"/>
              <w:rPr>
                <w:rFonts w:ascii="Verdana" w:hAnsi="Verdana"/>
                <w:color w:val="000000"/>
              </w:rPr>
            </w:pPr>
            <w:r>
              <w:rPr>
                <w:rFonts w:ascii="Verdana" w:hAnsi="Verdana"/>
                <w:color w:val="000000"/>
              </w:rPr>
              <w:t>5</w:t>
            </w:r>
            <w:r w:rsidR="007663FF" w:rsidRPr="00F05B9E">
              <w:rPr>
                <w:rFonts w:ascii="Verdana" w:hAnsi="Verdana"/>
                <w:color w:val="000000"/>
              </w:rPr>
              <w:t xml:space="preserve"> Schools</w:t>
            </w:r>
          </w:p>
          <w:p w14:paraId="024A8D34" w14:textId="77777777" w:rsidR="007663FF" w:rsidRPr="00F05B9E" w:rsidRDefault="007663FF" w:rsidP="004E7DE8">
            <w:pPr>
              <w:adjustRightInd w:val="0"/>
              <w:rPr>
                <w:rFonts w:ascii="Verdana" w:hAnsi="Verdana"/>
                <w:color w:val="000000"/>
              </w:rPr>
            </w:pPr>
          </w:p>
          <w:p w14:paraId="0117B007" w14:textId="77777777" w:rsidR="007663FF" w:rsidRPr="00F05B9E" w:rsidRDefault="007663FF" w:rsidP="004E7DE8">
            <w:pPr>
              <w:adjustRightInd w:val="0"/>
              <w:rPr>
                <w:rFonts w:ascii="Verdana" w:hAnsi="Verdana"/>
                <w:color w:val="000000"/>
              </w:rPr>
            </w:pPr>
            <w:r w:rsidRPr="00F05B9E">
              <w:rPr>
                <w:rFonts w:ascii="Verdana" w:hAnsi="Verdana"/>
                <w:color w:val="000000"/>
              </w:rPr>
              <w:t xml:space="preserve">3 Further Education Colleges </w:t>
            </w:r>
          </w:p>
          <w:p w14:paraId="04C8AF80" w14:textId="77777777" w:rsidR="007663FF" w:rsidRPr="00F05B9E" w:rsidRDefault="007663FF" w:rsidP="004E7DE8">
            <w:pPr>
              <w:adjustRightInd w:val="0"/>
              <w:rPr>
                <w:rFonts w:ascii="Verdana" w:hAnsi="Verdana"/>
                <w:color w:val="000000"/>
              </w:rPr>
            </w:pPr>
          </w:p>
        </w:tc>
      </w:tr>
    </w:tbl>
    <w:p w14:paraId="2D9ACB60" w14:textId="77777777" w:rsidR="007663FF" w:rsidRPr="000C6E5E" w:rsidRDefault="007663FF" w:rsidP="007663FF">
      <w:pPr>
        <w:pStyle w:val="Default"/>
        <w:rPr>
          <w:rFonts w:ascii="Arial" w:hAnsi="Arial" w:cs="Arial"/>
        </w:rPr>
      </w:pPr>
    </w:p>
    <w:p w14:paraId="5F00393D" w14:textId="77777777" w:rsidR="000C6E5E" w:rsidRDefault="000C6E5E" w:rsidP="007663FF">
      <w:pPr>
        <w:pStyle w:val="Default"/>
        <w:rPr>
          <w:rFonts w:ascii="Arial" w:hAnsi="Arial" w:cs="Arial"/>
          <w:b/>
          <w:bCs/>
          <w:sz w:val="44"/>
          <w:szCs w:val="44"/>
        </w:rPr>
      </w:pPr>
    </w:p>
    <w:p w14:paraId="02A02365" w14:textId="77777777" w:rsidR="000C6E5E" w:rsidRDefault="000C6E5E" w:rsidP="007663FF">
      <w:pPr>
        <w:pStyle w:val="Default"/>
        <w:rPr>
          <w:rFonts w:ascii="Arial" w:hAnsi="Arial" w:cs="Arial"/>
          <w:b/>
          <w:bCs/>
          <w:sz w:val="44"/>
          <w:szCs w:val="44"/>
        </w:rPr>
      </w:pPr>
    </w:p>
    <w:p w14:paraId="7AF9CE24" w14:textId="77777777" w:rsidR="000C6E5E" w:rsidRDefault="000C6E5E" w:rsidP="007663FF">
      <w:pPr>
        <w:pStyle w:val="Default"/>
        <w:rPr>
          <w:rFonts w:ascii="Arial" w:hAnsi="Arial" w:cs="Arial"/>
          <w:b/>
          <w:bCs/>
          <w:sz w:val="44"/>
          <w:szCs w:val="44"/>
        </w:rPr>
      </w:pPr>
    </w:p>
    <w:p w14:paraId="559BD1E7" w14:textId="77777777" w:rsidR="000C6E5E" w:rsidRDefault="000C6E5E" w:rsidP="007663FF">
      <w:pPr>
        <w:pStyle w:val="Default"/>
        <w:rPr>
          <w:rFonts w:ascii="Arial" w:hAnsi="Arial" w:cs="Arial"/>
          <w:b/>
          <w:bCs/>
          <w:sz w:val="44"/>
          <w:szCs w:val="44"/>
        </w:rPr>
      </w:pPr>
    </w:p>
    <w:p w14:paraId="3AA72AC1" w14:textId="77777777" w:rsidR="000C6E5E" w:rsidRDefault="000C6E5E" w:rsidP="007663FF">
      <w:pPr>
        <w:pStyle w:val="Default"/>
        <w:rPr>
          <w:rFonts w:ascii="Arial" w:hAnsi="Arial" w:cs="Arial"/>
          <w:b/>
          <w:bCs/>
          <w:sz w:val="44"/>
          <w:szCs w:val="44"/>
        </w:rPr>
      </w:pPr>
    </w:p>
    <w:p w14:paraId="7B7EBA8F" w14:textId="77777777" w:rsidR="000C6E5E" w:rsidRDefault="000C6E5E" w:rsidP="007663FF">
      <w:pPr>
        <w:pStyle w:val="Default"/>
        <w:rPr>
          <w:rFonts w:ascii="Arial" w:hAnsi="Arial" w:cs="Arial"/>
          <w:b/>
          <w:bCs/>
          <w:sz w:val="44"/>
          <w:szCs w:val="44"/>
        </w:rPr>
      </w:pPr>
    </w:p>
    <w:p w14:paraId="5B5970EA" w14:textId="77777777" w:rsidR="000C6E5E" w:rsidRDefault="000C6E5E" w:rsidP="007663FF">
      <w:pPr>
        <w:pStyle w:val="Default"/>
        <w:rPr>
          <w:rFonts w:ascii="Arial" w:hAnsi="Arial" w:cs="Arial"/>
          <w:b/>
          <w:bCs/>
          <w:sz w:val="44"/>
          <w:szCs w:val="44"/>
        </w:rPr>
      </w:pPr>
    </w:p>
    <w:p w14:paraId="6D2B3B1C" w14:textId="77777777" w:rsidR="000C6E5E" w:rsidRDefault="000C6E5E" w:rsidP="007663FF">
      <w:pPr>
        <w:pStyle w:val="Default"/>
        <w:rPr>
          <w:rFonts w:ascii="Arial" w:hAnsi="Arial" w:cs="Arial"/>
          <w:b/>
          <w:bCs/>
          <w:sz w:val="44"/>
          <w:szCs w:val="44"/>
        </w:rPr>
      </w:pPr>
    </w:p>
    <w:p w14:paraId="2027C103" w14:textId="77777777" w:rsidR="000C6E5E" w:rsidRDefault="000C6E5E" w:rsidP="007663FF">
      <w:pPr>
        <w:pStyle w:val="Default"/>
        <w:rPr>
          <w:rFonts w:ascii="Arial" w:hAnsi="Arial" w:cs="Arial"/>
          <w:b/>
          <w:bCs/>
          <w:sz w:val="44"/>
          <w:szCs w:val="44"/>
        </w:rPr>
      </w:pPr>
    </w:p>
    <w:p w14:paraId="02CFB5AE" w14:textId="77777777" w:rsidR="00F15DFF" w:rsidRPr="00995CC7" w:rsidRDefault="00F15DFF" w:rsidP="007663FF">
      <w:pPr>
        <w:pStyle w:val="Default"/>
        <w:rPr>
          <w:rFonts w:ascii="Arial" w:hAnsi="Arial" w:cs="Arial"/>
          <w:b/>
          <w:bCs/>
          <w:szCs w:val="44"/>
        </w:rPr>
      </w:pPr>
    </w:p>
    <w:p w14:paraId="53150590" w14:textId="77777777" w:rsidR="00DA31EE" w:rsidRDefault="00DA31EE" w:rsidP="007663FF">
      <w:pPr>
        <w:pStyle w:val="Default"/>
        <w:rPr>
          <w:rFonts w:ascii="Arial" w:hAnsi="Arial" w:cs="Arial"/>
          <w:b/>
          <w:bCs/>
          <w:sz w:val="44"/>
          <w:szCs w:val="44"/>
        </w:rPr>
      </w:pPr>
    </w:p>
    <w:p w14:paraId="28FE9965" w14:textId="68833ACE" w:rsidR="006A660C" w:rsidRDefault="007663FF" w:rsidP="007663FF">
      <w:pPr>
        <w:pStyle w:val="Default"/>
        <w:rPr>
          <w:rFonts w:ascii="Verdana" w:hAnsi="Verdana" w:cs="Arial"/>
          <w:b/>
          <w:bCs/>
          <w:sz w:val="32"/>
          <w:szCs w:val="32"/>
        </w:rPr>
      </w:pPr>
      <w:r w:rsidRPr="00F05B9E">
        <w:rPr>
          <w:rFonts w:ascii="Verdana" w:hAnsi="Verdana" w:cs="Arial"/>
          <w:b/>
          <w:bCs/>
          <w:sz w:val="32"/>
          <w:szCs w:val="32"/>
        </w:rPr>
        <w:t>Principal comments</w:t>
      </w:r>
    </w:p>
    <w:p w14:paraId="0D73D458" w14:textId="77777777" w:rsidR="00DA31EE" w:rsidRPr="00F05B9E" w:rsidRDefault="00DA31EE" w:rsidP="007663FF">
      <w:pPr>
        <w:pStyle w:val="Default"/>
        <w:rPr>
          <w:rFonts w:ascii="Verdana" w:hAnsi="Verdana" w:cs="Arial"/>
          <w:b/>
          <w:bCs/>
          <w:sz w:val="32"/>
          <w:szCs w:val="32"/>
        </w:rPr>
      </w:pPr>
    </w:p>
    <w:p w14:paraId="0FBBD2A3" w14:textId="77777777" w:rsidR="00035FA4" w:rsidRPr="00F05B9E" w:rsidRDefault="00035FA4" w:rsidP="007663FF">
      <w:pPr>
        <w:pStyle w:val="Default"/>
        <w:rPr>
          <w:rFonts w:ascii="Verdana" w:hAnsi="Verdana" w:cs="Arial"/>
          <w:b/>
          <w:bCs/>
          <w:sz w:val="22"/>
          <w:szCs w:val="22"/>
        </w:rPr>
      </w:pPr>
    </w:p>
    <w:p w14:paraId="2BCB2453" w14:textId="2E3DF4CC" w:rsidR="00305036" w:rsidRPr="00DA31EE" w:rsidRDefault="00733A5D" w:rsidP="00330DDA">
      <w:pPr>
        <w:pStyle w:val="ListParagraph"/>
        <w:numPr>
          <w:ilvl w:val="0"/>
          <w:numId w:val="3"/>
        </w:numPr>
        <w:rPr>
          <w:rFonts w:ascii="Verdana" w:eastAsia="Calibri" w:hAnsi="Verdana" w:cstheme="minorHAnsi"/>
          <w:b/>
          <w:bCs/>
        </w:rPr>
      </w:pPr>
      <w:r w:rsidRPr="00DA31EE">
        <w:rPr>
          <w:rFonts w:ascii="Verdana" w:eastAsia="Calibri" w:hAnsi="Verdana" w:cstheme="minorHAnsi"/>
          <w:b/>
          <w:bCs/>
        </w:rPr>
        <w:t>601/8435/8</w:t>
      </w:r>
      <w:r w:rsidR="00305036" w:rsidRPr="00DA31EE">
        <w:rPr>
          <w:rFonts w:ascii="Verdana" w:eastAsia="Calibri" w:hAnsi="Verdana" w:cstheme="minorHAnsi"/>
          <w:b/>
          <w:bCs/>
        </w:rPr>
        <w:t xml:space="preserve"> NCFE CACHE Technical Level 3 Extended Diploma in Health and Social Care</w:t>
      </w:r>
      <w:r w:rsidR="00330DDA" w:rsidRPr="00DA31EE">
        <w:rPr>
          <w:rFonts w:ascii="Verdana" w:eastAsia="Calibri" w:hAnsi="Verdana" w:cstheme="minorHAnsi"/>
          <w:b/>
          <w:bCs/>
        </w:rPr>
        <w:t xml:space="preserve"> (HSC/SAE and HSED2)</w:t>
      </w:r>
    </w:p>
    <w:p w14:paraId="4C890C64" w14:textId="77777777" w:rsidR="00083830" w:rsidRPr="00DA31EE" w:rsidRDefault="00083830" w:rsidP="0001764B">
      <w:pPr>
        <w:pStyle w:val="ListParagraph"/>
        <w:ind w:left="720"/>
        <w:rPr>
          <w:rFonts w:ascii="Verdana" w:eastAsia="Calibri" w:hAnsi="Verdana" w:cstheme="minorHAnsi"/>
        </w:rPr>
      </w:pPr>
    </w:p>
    <w:p w14:paraId="26ED4DAF" w14:textId="4839EBA6" w:rsidR="00083830" w:rsidRPr="00DA31EE" w:rsidRDefault="00083830" w:rsidP="0001764B">
      <w:pPr>
        <w:pStyle w:val="ListParagraph"/>
        <w:ind w:left="720"/>
        <w:rPr>
          <w:rFonts w:ascii="Verdana" w:eastAsia="Calibri" w:hAnsi="Verdana" w:cstheme="minorHAnsi"/>
        </w:rPr>
      </w:pPr>
      <w:r w:rsidRPr="00DA31EE">
        <w:rPr>
          <w:rFonts w:ascii="Verdana" w:eastAsia="Calibri" w:hAnsi="Verdana" w:cstheme="minorHAnsi"/>
        </w:rPr>
        <w:t xml:space="preserve">These </w:t>
      </w:r>
      <w:r w:rsidR="00CD5DE1" w:rsidRPr="00DA31EE">
        <w:rPr>
          <w:rFonts w:ascii="Verdana" w:eastAsia="Calibri" w:hAnsi="Verdana" w:cstheme="minorHAnsi"/>
        </w:rPr>
        <w:t xml:space="preserve">summer </w:t>
      </w:r>
      <w:r w:rsidRPr="00DA31EE">
        <w:rPr>
          <w:rFonts w:ascii="Verdana" w:eastAsia="Calibri" w:hAnsi="Verdana" w:cstheme="minorHAnsi"/>
        </w:rPr>
        <w:t>assessments clash with the T level Employer Set Project which has its assessment window during this tim</w:t>
      </w:r>
      <w:r w:rsidR="00CD5DE1" w:rsidRPr="00DA31EE">
        <w:rPr>
          <w:rFonts w:ascii="Verdana" w:eastAsia="Calibri" w:hAnsi="Verdana" w:cstheme="minorHAnsi"/>
        </w:rPr>
        <w:t>e</w:t>
      </w:r>
      <w:r w:rsidR="000831E1" w:rsidRPr="00DA31EE">
        <w:rPr>
          <w:rFonts w:ascii="Verdana" w:eastAsia="Calibri" w:hAnsi="Verdana" w:cstheme="minorHAnsi"/>
        </w:rPr>
        <w:t xml:space="preserve">. </w:t>
      </w:r>
      <w:r w:rsidRPr="00DA31EE">
        <w:rPr>
          <w:rFonts w:ascii="Verdana" w:eastAsia="Calibri" w:hAnsi="Verdana" w:cstheme="minorHAnsi"/>
        </w:rPr>
        <w:t xml:space="preserve">This is not fair on staff and learners as we have high student numbers and </w:t>
      </w:r>
      <w:r w:rsidR="0001764B" w:rsidRPr="00DA31EE">
        <w:rPr>
          <w:rFonts w:ascii="Verdana" w:eastAsia="Calibri" w:hAnsi="Verdana" w:cstheme="minorHAnsi"/>
        </w:rPr>
        <w:t xml:space="preserve">require rooms and staff to support. </w:t>
      </w:r>
      <w:r w:rsidRPr="00DA31EE">
        <w:rPr>
          <w:rFonts w:ascii="Verdana" w:eastAsia="Calibri" w:hAnsi="Verdana" w:cstheme="minorHAnsi"/>
        </w:rPr>
        <w:t xml:space="preserve">Could these be moved slightly earlier in the month to accommodate all the other external timetable exams? </w:t>
      </w:r>
    </w:p>
    <w:p w14:paraId="2217411C" w14:textId="5DD85B1B" w:rsidR="0001764B" w:rsidRPr="00DA31EE" w:rsidRDefault="0001764B" w:rsidP="0001764B">
      <w:pPr>
        <w:rPr>
          <w:rFonts w:ascii="Verdana" w:eastAsia="Calibri" w:hAnsi="Verdana" w:cstheme="minorHAnsi"/>
        </w:rPr>
      </w:pPr>
    </w:p>
    <w:p w14:paraId="6B8E2454" w14:textId="7DD23301" w:rsidR="0001764B" w:rsidRPr="00DA31EE" w:rsidRDefault="0001764B" w:rsidP="0001764B">
      <w:pPr>
        <w:pStyle w:val="Default"/>
        <w:ind w:left="720"/>
        <w:rPr>
          <w:rFonts w:ascii="Verdana" w:hAnsi="Verdana" w:cs="Arial"/>
          <w:b/>
          <w:sz w:val="22"/>
          <w:szCs w:val="22"/>
        </w:rPr>
      </w:pPr>
      <w:r w:rsidRPr="00DA31EE">
        <w:rPr>
          <w:rFonts w:ascii="Verdana" w:hAnsi="Verdana" w:cs="Arial"/>
          <w:b/>
          <w:sz w:val="22"/>
          <w:szCs w:val="22"/>
        </w:rPr>
        <w:t>Response</w:t>
      </w:r>
    </w:p>
    <w:p w14:paraId="502C0C8D" w14:textId="03FB99B7" w:rsidR="0001764B" w:rsidRPr="00DA31EE" w:rsidRDefault="0001764B" w:rsidP="0001764B">
      <w:pPr>
        <w:rPr>
          <w:rFonts w:ascii="Verdana" w:eastAsia="Calibri" w:hAnsi="Verdana" w:cstheme="minorHAnsi"/>
        </w:rPr>
      </w:pPr>
    </w:p>
    <w:p w14:paraId="6644A7C4" w14:textId="18E0DC04" w:rsidR="0001764B" w:rsidRPr="00DA31EE" w:rsidRDefault="00EA60C6" w:rsidP="0001291D">
      <w:pPr>
        <w:ind w:left="720"/>
        <w:rPr>
          <w:rFonts w:ascii="Verdana" w:eastAsia="Calibri" w:hAnsi="Verdana" w:cstheme="minorHAnsi"/>
        </w:rPr>
      </w:pPr>
      <w:r w:rsidRPr="00DA31EE">
        <w:rPr>
          <w:rFonts w:ascii="Verdana" w:eastAsia="Calibri" w:hAnsi="Verdana" w:cstheme="minorHAnsi"/>
        </w:rPr>
        <w:t xml:space="preserve">Moving these assessments, as suggested, earlier in the month would negatively impact </w:t>
      </w:r>
      <w:r w:rsidR="00792DDF" w:rsidRPr="00DA31EE">
        <w:rPr>
          <w:rFonts w:ascii="Verdana" w:eastAsia="Calibri" w:hAnsi="Verdana" w:cstheme="minorHAnsi"/>
        </w:rPr>
        <w:t xml:space="preserve">centres and learners in 2 ways; reducing the preparation time for the summer assessments, and significantly impacting </w:t>
      </w:r>
      <w:r w:rsidR="0001291D" w:rsidRPr="00DA31EE">
        <w:rPr>
          <w:rFonts w:ascii="Verdana" w:eastAsia="Calibri" w:hAnsi="Verdana" w:cstheme="minorHAnsi"/>
        </w:rPr>
        <w:t>the time interval between results release for the previous assessment opportunity, and the booking cut-off and assessment dates for the summer opportunity. In each case, th</w:t>
      </w:r>
      <w:r w:rsidR="00826436" w:rsidRPr="00DA31EE">
        <w:rPr>
          <w:rFonts w:ascii="Verdana" w:eastAsia="Calibri" w:hAnsi="Verdana" w:cstheme="minorHAnsi"/>
        </w:rPr>
        <w:t xml:space="preserve">ese gaps are currently only a few calendar days, so reducing these would disadvantage </w:t>
      </w:r>
      <w:r w:rsidR="00BE3FBE" w:rsidRPr="00DA31EE">
        <w:rPr>
          <w:rFonts w:ascii="Verdana" w:eastAsia="Calibri" w:hAnsi="Verdana" w:cstheme="minorHAnsi"/>
        </w:rPr>
        <w:t xml:space="preserve">centres and </w:t>
      </w:r>
      <w:r w:rsidR="00826436" w:rsidRPr="00DA31EE">
        <w:rPr>
          <w:rFonts w:ascii="Verdana" w:eastAsia="Calibri" w:hAnsi="Verdana" w:cstheme="minorHAnsi"/>
        </w:rPr>
        <w:t>learners</w:t>
      </w:r>
      <w:r w:rsidR="00BE3FBE" w:rsidRPr="00DA31EE">
        <w:rPr>
          <w:rFonts w:ascii="Verdana" w:eastAsia="Calibri" w:hAnsi="Verdana" w:cstheme="minorHAnsi"/>
        </w:rPr>
        <w:t xml:space="preserve"> having to book onto and undertake future assessments while still awaiting a result from their previous attempt. For centres in positions such as these, where there are internal pressures on resourcing </w:t>
      </w:r>
      <w:r w:rsidR="003746AD" w:rsidRPr="00DA31EE">
        <w:rPr>
          <w:rFonts w:ascii="Verdana" w:eastAsia="Calibri" w:hAnsi="Verdana" w:cstheme="minorHAnsi"/>
        </w:rPr>
        <w:t>arising from competing assessments, we would strongly encourage an Assessment Variation request</w:t>
      </w:r>
      <w:r w:rsidR="00DA31EE" w:rsidRPr="00DA31EE">
        <w:rPr>
          <w:rFonts w:ascii="Verdana" w:eastAsia="Calibri" w:hAnsi="Verdana" w:cstheme="minorHAnsi"/>
        </w:rPr>
        <w:t xml:space="preserve"> be submitted</w:t>
      </w:r>
      <w:r w:rsidR="003746AD" w:rsidRPr="00DA31EE">
        <w:rPr>
          <w:rFonts w:ascii="Verdana" w:eastAsia="Calibri" w:hAnsi="Verdana" w:cstheme="minorHAnsi"/>
        </w:rPr>
        <w:t>, on behalf of one of the</w:t>
      </w:r>
      <w:r w:rsidR="00DA31EE" w:rsidRPr="00DA31EE">
        <w:rPr>
          <w:rFonts w:ascii="Verdana" w:eastAsia="Calibri" w:hAnsi="Verdana" w:cstheme="minorHAnsi"/>
        </w:rPr>
        <w:t xml:space="preserve"> competing a</w:t>
      </w:r>
      <w:r w:rsidR="003746AD" w:rsidRPr="00DA31EE">
        <w:rPr>
          <w:rFonts w:ascii="Verdana" w:eastAsia="Calibri" w:hAnsi="Verdana" w:cstheme="minorHAnsi"/>
        </w:rPr>
        <w:t xml:space="preserve">ssessments, </w:t>
      </w:r>
      <w:r w:rsidR="00DA31EE" w:rsidRPr="00DA31EE">
        <w:rPr>
          <w:rFonts w:ascii="Verdana" w:eastAsia="Calibri" w:hAnsi="Verdana" w:cstheme="minorHAnsi"/>
        </w:rPr>
        <w:t>to ease the burden on centre resources.</w:t>
      </w:r>
    </w:p>
    <w:p w14:paraId="1755DE57" w14:textId="77777777" w:rsidR="00083830" w:rsidRDefault="00083830" w:rsidP="00DA31EE">
      <w:pPr>
        <w:pStyle w:val="Default"/>
        <w:rPr>
          <w:rFonts w:ascii="Verdana" w:hAnsi="Verdana" w:cs="Arial"/>
          <w:b/>
          <w:bCs/>
          <w:sz w:val="22"/>
          <w:szCs w:val="22"/>
        </w:rPr>
      </w:pPr>
    </w:p>
    <w:p w14:paraId="20CE5706" w14:textId="065EC5A2" w:rsidR="00083830" w:rsidRDefault="00083830" w:rsidP="00DA31EE">
      <w:pPr>
        <w:pStyle w:val="Default"/>
        <w:ind w:left="720"/>
        <w:rPr>
          <w:rFonts w:ascii="Verdana" w:hAnsi="Verdana" w:cs="Arial"/>
          <w:b/>
          <w:bCs/>
          <w:sz w:val="22"/>
          <w:szCs w:val="22"/>
        </w:rPr>
      </w:pPr>
    </w:p>
    <w:p w14:paraId="7CD093CA" w14:textId="695546D8" w:rsidR="0002261C" w:rsidRDefault="0002261C" w:rsidP="00113842">
      <w:pPr>
        <w:pStyle w:val="Default"/>
        <w:numPr>
          <w:ilvl w:val="0"/>
          <w:numId w:val="3"/>
        </w:numPr>
        <w:rPr>
          <w:rFonts w:ascii="Verdana" w:hAnsi="Verdana" w:cs="Arial"/>
          <w:b/>
          <w:bCs/>
          <w:sz w:val="22"/>
          <w:szCs w:val="22"/>
        </w:rPr>
      </w:pPr>
      <w:r w:rsidRPr="0002261C">
        <w:rPr>
          <w:rFonts w:ascii="Verdana" w:hAnsi="Verdana" w:cs="Arial"/>
          <w:b/>
          <w:bCs/>
          <w:sz w:val="22"/>
          <w:szCs w:val="22"/>
        </w:rPr>
        <w:t>601/6777/4 and 601/6774/9</w:t>
      </w:r>
      <w:r>
        <w:rPr>
          <w:rFonts w:ascii="Verdana" w:hAnsi="Verdana" w:cs="Arial"/>
          <w:b/>
          <w:bCs/>
          <w:sz w:val="22"/>
          <w:szCs w:val="22"/>
        </w:rPr>
        <w:t xml:space="preserve"> </w:t>
      </w:r>
      <w:r w:rsidR="00113842">
        <w:rPr>
          <w:rFonts w:ascii="Verdana" w:hAnsi="Verdana" w:cs="Arial"/>
          <w:b/>
          <w:bCs/>
          <w:sz w:val="22"/>
          <w:szCs w:val="22"/>
        </w:rPr>
        <w:t>NCFE Level 1/2 Technical Award in Music Technology</w:t>
      </w:r>
    </w:p>
    <w:p w14:paraId="72BB5F95" w14:textId="194EDE87" w:rsidR="00113842" w:rsidRDefault="00113842" w:rsidP="00113842">
      <w:pPr>
        <w:pStyle w:val="Default"/>
        <w:rPr>
          <w:rFonts w:ascii="Verdana" w:hAnsi="Verdana" w:cs="Arial"/>
          <w:b/>
          <w:bCs/>
          <w:sz w:val="22"/>
          <w:szCs w:val="22"/>
        </w:rPr>
      </w:pPr>
    </w:p>
    <w:p w14:paraId="6EADB20C" w14:textId="220BBC93" w:rsidR="005A5B33" w:rsidRPr="000C439A" w:rsidRDefault="005A5B33" w:rsidP="000C439A">
      <w:pPr>
        <w:pStyle w:val="ListParagraph"/>
        <w:ind w:left="720"/>
        <w:rPr>
          <w:rFonts w:ascii="Verdana" w:hAnsi="Verdana" w:cstheme="minorHAnsi"/>
        </w:rPr>
      </w:pPr>
      <w:r w:rsidRPr="000C439A">
        <w:rPr>
          <w:rFonts w:ascii="Verdana" w:hAnsi="Verdana" w:cstheme="minorHAnsi"/>
        </w:rPr>
        <w:t xml:space="preserve">We appreciate this year has been extended to a three-week window because of the pandemic. Would it be possible to have a longer window (maybe even two weeks) just to provide some additional flexibility for centres in resource planning </w:t>
      </w:r>
      <w:r w:rsidR="000C439A" w:rsidRPr="000C439A">
        <w:rPr>
          <w:rFonts w:ascii="Verdana" w:hAnsi="Verdana" w:cstheme="minorHAnsi"/>
        </w:rPr>
        <w:t>and continuing adaptations</w:t>
      </w:r>
      <w:r w:rsidRPr="000C439A">
        <w:rPr>
          <w:rFonts w:ascii="Verdana" w:hAnsi="Verdana" w:cstheme="minorHAnsi"/>
        </w:rPr>
        <w:t>?</w:t>
      </w:r>
    </w:p>
    <w:p w14:paraId="01BB9D37" w14:textId="77777777" w:rsidR="00113842" w:rsidRDefault="00113842" w:rsidP="00113842">
      <w:pPr>
        <w:pStyle w:val="Default"/>
        <w:ind w:left="720"/>
        <w:rPr>
          <w:rFonts w:ascii="Verdana" w:hAnsi="Verdana" w:cs="Arial"/>
          <w:b/>
          <w:bCs/>
          <w:sz w:val="22"/>
          <w:szCs w:val="22"/>
        </w:rPr>
      </w:pPr>
    </w:p>
    <w:p w14:paraId="396CAC8C" w14:textId="77777777" w:rsidR="000C439A" w:rsidRPr="00DA31EE" w:rsidRDefault="000C439A" w:rsidP="000C439A">
      <w:pPr>
        <w:pStyle w:val="Default"/>
        <w:ind w:left="720"/>
        <w:rPr>
          <w:rFonts w:ascii="Verdana" w:hAnsi="Verdana" w:cs="Arial"/>
          <w:b/>
          <w:sz w:val="22"/>
          <w:szCs w:val="22"/>
        </w:rPr>
      </w:pPr>
      <w:r w:rsidRPr="00DA31EE">
        <w:rPr>
          <w:rFonts w:ascii="Verdana" w:hAnsi="Verdana" w:cs="Arial"/>
          <w:b/>
          <w:sz w:val="22"/>
          <w:szCs w:val="22"/>
        </w:rPr>
        <w:t>Response</w:t>
      </w:r>
    </w:p>
    <w:p w14:paraId="19243DBF" w14:textId="77777777" w:rsidR="000C439A" w:rsidRPr="00DA31EE" w:rsidRDefault="000C439A" w:rsidP="000C439A">
      <w:pPr>
        <w:rPr>
          <w:rFonts w:ascii="Verdana" w:eastAsia="Calibri" w:hAnsi="Verdana" w:cstheme="minorHAnsi"/>
        </w:rPr>
      </w:pPr>
    </w:p>
    <w:p w14:paraId="1E61756C" w14:textId="4E86FCB4" w:rsidR="000C439A" w:rsidRDefault="000C439A" w:rsidP="000C439A">
      <w:pPr>
        <w:ind w:left="720"/>
        <w:rPr>
          <w:rFonts w:ascii="Verdana" w:eastAsia="Calibri" w:hAnsi="Verdana" w:cstheme="minorHAnsi"/>
        </w:rPr>
      </w:pPr>
      <w:r>
        <w:rPr>
          <w:rFonts w:ascii="Verdana" w:eastAsia="Calibri" w:hAnsi="Verdana" w:cstheme="minorHAnsi"/>
        </w:rPr>
        <w:t>The window for this assessment was extended</w:t>
      </w:r>
      <w:r w:rsidR="00CC4BA7">
        <w:rPr>
          <w:rFonts w:ascii="Verdana" w:eastAsia="Calibri" w:hAnsi="Verdana" w:cstheme="minorHAnsi"/>
        </w:rPr>
        <w:t xml:space="preserve"> from 1 week to 3 weeks in 2021/22 for 2 reasons</w:t>
      </w:r>
      <w:r w:rsidR="005D53A5">
        <w:rPr>
          <w:rFonts w:ascii="Verdana" w:eastAsia="Calibri" w:hAnsi="Verdana" w:cstheme="minorHAnsi"/>
        </w:rPr>
        <w:t>; f</w:t>
      </w:r>
      <w:r w:rsidR="00CC4BA7">
        <w:rPr>
          <w:rFonts w:ascii="Verdana" w:eastAsia="Calibri" w:hAnsi="Verdana" w:cstheme="minorHAnsi"/>
        </w:rPr>
        <w:t>irst</w:t>
      </w:r>
      <w:r w:rsidR="00284564">
        <w:rPr>
          <w:rFonts w:ascii="Verdana" w:eastAsia="Calibri" w:hAnsi="Verdana" w:cstheme="minorHAnsi"/>
        </w:rPr>
        <w:t xml:space="preserve">ly, as an adaptation to aid centres and learners in delivery difficulty throughout the pandemic and, secondly, </w:t>
      </w:r>
      <w:r w:rsidR="00624ECD">
        <w:rPr>
          <w:rFonts w:ascii="Verdana" w:eastAsia="Calibri" w:hAnsi="Verdana" w:cstheme="minorHAnsi"/>
        </w:rPr>
        <w:t xml:space="preserve">as an extension of </w:t>
      </w:r>
      <w:r w:rsidR="005D53A5">
        <w:rPr>
          <w:rFonts w:ascii="Verdana" w:eastAsia="Calibri" w:hAnsi="Verdana" w:cstheme="minorHAnsi"/>
        </w:rPr>
        <w:t xml:space="preserve">only </w:t>
      </w:r>
      <w:r w:rsidR="00624ECD">
        <w:rPr>
          <w:rFonts w:ascii="Verdana" w:eastAsia="Calibri" w:hAnsi="Verdana" w:cstheme="minorHAnsi"/>
        </w:rPr>
        <w:t xml:space="preserve">1 week would overlap the summer half-term period for most centres. Continuing this approach </w:t>
      </w:r>
      <w:r w:rsidR="009C2615">
        <w:rPr>
          <w:rFonts w:ascii="Verdana" w:eastAsia="Calibri" w:hAnsi="Verdana" w:cstheme="minorHAnsi"/>
        </w:rPr>
        <w:t xml:space="preserve">by </w:t>
      </w:r>
      <w:r w:rsidR="00A07216">
        <w:rPr>
          <w:rFonts w:ascii="Verdana" w:eastAsia="Calibri" w:hAnsi="Verdana" w:cstheme="minorHAnsi"/>
        </w:rPr>
        <w:t>bringing the assessment date forward would, as above, limit the gap between results release for the spring window a</w:t>
      </w:r>
      <w:r w:rsidR="008C2D32">
        <w:rPr>
          <w:rFonts w:ascii="Verdana" w:eastAsia="Calibri" w:hAnsi="Verdana" w:cstheme="minorHAnsi"/>
        </w:rPr>
        <w:t xml:space="preserve">nd </w:t>
      </w:r>
      <w:r w:rsidRPr="00DA31EE">
        <w:rPr>
          <w:rFonts w:ascii="Verdana" w:eastAsia="Calibri" w:hAnsi="Verdana" w:cstheme="minorHAnsi"/>
        </w:rPr>
        <w:t xml:space="preserve">the booking cut-off and assessment dates for the summer opportunity. </w:t>
      </w:r>
      <w:r w:rsidR="009A5536">
        <w:rPr>
          <w:rFonts w:ascii="Verdana" w:eastAsia="Calibri" w:hAnsi="Verdana" w:cstheme="minorHAnsi"/>
        </w:rPr>
        <w:t>Delaying the assessment date would impact on results release, and potentially mean that results would not be rec</w:t>
      </w:r>
      <w:r w:rsidR="00140966">
        <w:rPr>
          <w:rFonts w:ascii="Verdana" w:eastAsia="Calibri" w:hAnsi="Verdana" w:cstheme="minorHAnsi"/>
        </w:rPr>
        <w:t xml:space="preserve">eived until beyond the traditional published date for most equivalent qualifications, in preparation for future learning. </w:t>
      </w:r>
      <w:r w:rsidRPr="00DA31EE">
        <w:rPr>
          <w:rFonts w:ascii="Verdana" w:eastAsia="Calibri" w:hAnsi="Verdana" w:cstheme="minorHAnsi"/>
        </w:rPr>
        <w:t xml:space="preserve">For centres in positions such as these, where there are internal pressures on resourcing arising from competing assessments, </w:t>
      </w:r>
      <w:r w:rsidR="00140966">
        <w:rPr>
          <w:rFonts w:ascii="Verdana" w:eastAsia="Calibri" w:hAnsi="Verdana" w:cstheme="minorHAnsi"/>
        </w:rPr>
        <w:t xml:space="preserve">again, </w:t>
      </w:r>
      <w:r w:rsidRPr="00DA31EE">
        <w:rPr>
          <w:rFonts w:ascii="Verdana" w:eastAsia="Calibri" w:hAnsi="Verdana" w:cstheme="minorHAnsi"/>
        </w:rPr>
        <w:t>we would strongly encourage an Assessment Variation request be submitted, on behalf of one of the competing assessments, to ease the burden on centre resources.</w:t>
      </w:r>
    </w:p>
    <w:p w14:paraId="2B995CFC" w14:textId="3590EFFC" w:rsidR="00A35D09" w:rsidRDefault="00A35D09" w:rsidP="000C439A">
      <w:pPr>
        <w:ind w:left="720"/>
        <w:rPr>
          <w:rFonts w:ascii="Verdana" w:eastAsia="Calibri" w:hAnsi="Verdana" w:cstheme="minorHAnsi"/>
        </w:rPr>
      </w:pPr>
    </w:p>
    <w:p w14:paraId="1453787B" w14:textId="6141C9AB" w:rsidR="00A35D09" w:rsidRDefault="00A35D09" w:rsidP="000C439A">
      <w:pPr>
        <w:ind w:left="720"/>
        <w:rPr>
          <w:rFonts w:ascii="Verdana" w:eastAsia="Calibri" w:hAnsi="Verdana" w:cstheme="minorHAnsi"/>
        </w:rPr>
      </w:pPr>
    </w:p>
    <w:p w14:paraId="33E28DCC" w14:textId="15669B6F" w:rsidR="00A35D09" w:rsidRDefault="00A35D09" w:rsidP="000C439A">
      <w:pPr>
        <w:ind w:left="720"/>
        <w:rPr>
          <w:rFonts w:ascii="Verdana" w:eastAsia="Calibri" w:hAnsi="Verdana" w:cstheme="minorHAnsi"/>
        </w:rPr>
      </w:pPr>
    </w:p>
    <w:p w14:paraId="1C65C060" w14:textId="0691EE8E" w:rsidR="00A35D09" w:rsidRDefault="00A35D09" w:rsidP="000C439A">
      <w:pPr>
        <w:ind w:left="720"/>
        <w:rPr>
          <w:rFonts w:ascii="Verdana" w:eastAsia="Calibri" w:hAnsi="Verdana" w:cstheme="minorHAnsi"/>
        </w:rPr>
      </w:pPr>
    </w:p>
    <w:p w14:paraId="71BF3884" w14:textId="4FFC20E3" w:rsidR="00C42E32" w:rsidRDefault="00C42E32" w:rsidP="00C42E32">
      <w:pPr>
        <w:pStyle w:val="Default"/>
        <w:numPr>
          <w:ilvl w:val="0"/>
          <w:numId w:val="3"/>
        </w:numPr>
        <w:rPr>
          <w:rFonts w:ascii="Verdana" w:hAnsi="Verdana" w:cs="Arial"/>
          <w:b/>
          <w:bCs/>
          <w:sz w:val="22"/>
          <w:szCs w:val="22"/>
        </w:rPr>
      </w:pPr>
      <w:r w:rsidRPr="0002261C">
        <w:rPr>
          <w:rFonts w:ascii="Verdana" w:hAnsi="Verdana" w:cs="Arial"/>
          <w:b/>
          <w:bCs/>
          <w:sz w:val="22"/>
          <w:szCs w:val="22"/>
        </w:rPr>
        <w:t>601/</w:t>
      </w:r>
      <w:r w:rsidR="006A06D7">
        <w:rPr>
          <w:rFonts w:ascii="Verdana" w:hAnsi="Verdana" w:cs="Arial"/>
          <w:b/>
          <w:bCs/>
          <w:sz w:val="22"/>
          <w:szCs w:val="22"/>
        </w:rPr>
        <w:t>8437/1</w:t>
      </w:r>
      <w:r w:rsidRPr="0002261C">
        <w:rPr>
          <w:rFonts w:ascii="Verdana" w:hAnsi="Verdana" w:cs="Arial"/>
          <w:b/>
          <w:bCs/>
          <w:sz w:val="22"/>
          <w:szCs w:val="22"/>
        </w:rPr>
        <w:t xml:space="preserve"> </w:t>
      </w:r>
      <w:r>
        <w:rPr>
          <w:rFonts w:ascii="Verdana" w:hAnsi="Verdana" w:cs="Arial"/>
          <w:b/>
          <w:bCs/>
          <w:sz w:val="22"/>
          <w:szCs w:val="22"/>
        </w:rPr>
        <w:t xml:space="preserve">NCFE </w:t>
      </w:r>
      <w:r w:rsidR="006A06D7">
        <w:rPr>
          <w:rFonts w:ascii="Verdana" w:hAnsi="Verdana" w:cs="Arial"/>
          <w:b/>
          <w:bCs/>
          <w:sz w:val="22"/>
          <w:szCs w:val="22"/>
        </w:rPr>
        <w:t xml:space="preserve">CACHE </w:t>
      </w:r>
      <w:r w:rsidR="006A06D7" w:rsidRPr="006A06D7">
        <w:rPr>
          <w:rFonts w:ascii="Verdana" w:hAnsi="Verdana" w:cs="Arial"/>
          <w:b/>
          <w:bCs/>
          <w:sz w:val="22"/>
          <w:szCs w:val="22"/>
        </w:rPr>
        <w:t>Technical L</w:t>
      </w:r>
      <w:r w:rsidR="006A06D7">
        <w:rPr>
          <w:rFonts w:ascii="Verdana" w:hAnsi="Verdana" w:cs="Arial"/>
          <w:b/>
          <w:bCs/>
          <w:sz w:val="22"/>
          <w:szCs w:val="22"/>
        </w:rPr>
        <w:t xml:space="preserve">evel </w:t>
      </w:r>
      <w:r w:rsidR="006A06D7" w:rsidRPr="006A06D7">
        <w:rPr>
          <w:rFonts w:ascii="Verdana" w:hAnsi="Verdana" w:cs="Arial"/>
          <w:b/>
          <w:bCs/>
          <w:sz w:val="22"/>
          <w:szCs w:val="22"/>
        </w:rPr>
        <w:t>3 Diploma in Childcare and Education</w:t>
      </w:r>
      <w:r w:rsidR="006A06D7">
        <w:rPr>
          <w:rFonts w:ascii="Verdana" w:hAnsi="Verdana" w:cs="Arial"/>
          <w:b/>
          <w:bCs/>
          <w:sz w:val="22"/>
          <w:szCs w:val="22"/>
        </w:rPr>
        <w:t xml:space="preserve"> </w:t>
      </w:r>
      <w:r>
        <w:rPr>
          <w:rFonts w:ascii="Verdana" w:hAnsi="Verdana" w:cs="Arial"/>
          <w:b/>
          <w:bCs/>
          <w:sz w:val="22"/>
          <w:szCs w:val="22"/>
        </w:rPr>
        <w:t xml:space="preserve">(DCE2) </w:t>
      </w:r>
      <w:r w:rsidR="0037197E">
        <w:rPr>
          <w:rFonts w:ascii="Verdana" w:hAnsi="Verdana" w:cs="Arial"/>
          <w:b/>
          <w:bCs/>
          <w:sz w:val="22"/>
          <w:szCs w:val="22"/>
        </w:rPr>
        <w:t>(</w:t>
      </w:r>
      <w:r>
        <w:rPr>
          <w:rFonts w:ascii="Verdana" w:hAnsi="Verdana" w:cs="Arial"/>
          <w:b/>
          <w:bCs/>
          <w:sz w:val="22"/>
          <w:szCs w:val="22"/>
        </w:rPr>
        <w:t xml:space="preserve">and </w:t>
      </w:r>
      <w:r w:rsidR="00ED0975">
        <w:rPr>
          <w:rFonts w:ascii="Verdana" w:hAnsi="Verdana" w:cs="Arial"/>
          <w:b/>
          <w:bCs/>
          <w:sz w:val="22"/>
          <w:szCs w:val="22"/>
        </w:rPr>
        <w:t>many other qualifications</w:t>
      </w:r>
      <w:r w:rsidR="0037197E">
        <w:rPr>
          <w:rFonts w:ascii="Verdana" w:hAnsi="Verdana" w:cs="Arial"/>
          <w:b/>
          <w:bCs/>
          <w:sz w:val="22"/>
          <w:szCs w:val="22"/>
        </w:rPr>
        <w:t xml:space="preserve"> in a similar position)</w:t>
      </w:r>
    </w:p>
    <w:p w14:paraId="4FE80ABA" w14:textId="77777777" w:rsidR="00C42E32" w:rsidRPr="0056194D" w:rsidRDefault="00C42E32" w:rsidP="00C42E32">
      <w:pPr>
        <w:pStyle w:val="Default"/>
        <w:rPr>
          <w:rFonts w:ascii="Verdana" w:hAnsi="Verdana" w:cs="Arial"/>
          <w:b/>
          <w:bCs/>
          <w:sz w:val="22"/>
          <w:szCs w:val="22"/>
        </w:rPr>
      </w:pPr>
    </w:p>
    <w:p w14:paraId="69D75E5D" w14:textId="45A59415" w:rsidR="006C3202" w:rsidRPr="0056194D" w:rsidRDefault="006C3202" w:rsidP="0056194D">
      <w:pPr>
        <w:ind w:left="720"/>
        <w:rPr>
          <w:rFonts w:ascii="Verdana" w:hAnsi="Verdana" w:cstheme="minorHAnsi"/>
        </w:rPr>
      </w:pPr>
      <w:r w:rsidRPr="0056194D">
        <w:rPr>
          <w:rFonts w:ascii="Verdana" w:hAnsi="Verdana" w:cstheme="minorHAnsi"/>
        </w:rPr>
        <w:t xml:space="preserve">As results </w:t>
      </w:r>
      <w:r w:rsidR="0056194D">
        <w:rPr>
          <w:rFonts w:ascii="Verdana" w:hAnsi="Verdana" w:cstheme="minorHAnsi"/>
        </w:rPr>
        <w:t>are</w:t>
      </w:r>
      <w:r w:rsidRPr="0056194D">
        <w:rPr>
          <w:rFonts w:ascii="Verdana" w:hAnsi="Verdana" w:cstheme="minorHAnsi"/>
        </w:rPr>
        <w:t xml:space="preserve"> only released in early May, we would never have the time to get results back of an E</w:t>
      </w:r>
      <w:r w:rsidR="0056194D" w:rsidRPr="0056194D">
        <w:rPr>
          <w:rFonts w:ascii="Verdana" w:hAnsi="Verdana" w:cstheme="minorHAnsi"/>
        </w:rPr>
        <w:t xml:space="preserve">nquiry </w:t>
      </w:r>
      <w:r w:rsidRPr="0056194D">
        <w:rPr>
          <w:rFonts w:ascii="Verdana" w:hAnsi="Verdana" w:cstheme="minorHAnsi"/>
        </w:rPr>
        <w:t>A</w:t>
      </w:r>
      <w:r w:rsidR="0056194D" w:rsidRPr="0056194D">
        <w:rPr>
          <w:rFonts w:ascii="Verdana" w:hAnsi="Verdana" w:cstheme="minorHAnsi"/>
        </w:rPr>
        <w:t xml:space="preserve">bout a </w:t>
      </w:r>
      <w:r w:rsidRPr="0056194D">
        <w:rPr>
          <w:rFonts w:ascii="Verdana" w:hAnsi="Verdana" w:cstheme="minorHAnsi"/>
        </w:rPr>
        <w:t>R</w:t>
      </w:r>
      <w:r w:rsidR="0056194D" w:rsidRPr="0056194D">
        <w:rPr>
          <w:rFonts w:ascii="Verdana" w:hAnsi="Verdana" w:cstheme="minorHAnsi"/>
        </w:rPr>
        <w:t>esult</w:t>
      </w:r>
      <w:r w:rsidRPr="0056194D">
        <w:rPr>
          <w:rFonts w:ascii="Verdana" w:hAnsi="Verdana" w:cstheme="minorHAnsi"/>
        </w:rPr>
        <w:t xml:space="preserve"> before</w:t>
      </w:r>
      <w:r w:rsidR="0056194D" w:rsidRPr="0056194D">
        <w:rPr>
          <w:rFonts w:ascii="Verdana" w:hAnsi="Verdana" w:cstheme="minorHAnsi"/>
        </w:rPr>
        <w:t xml:space="preserve"> determin</w:t>
      </w:r>
      <w:r w:rsidRPr="0056194D">
        <w:rPr>
          <w:rFonts w:ascii="Verdana" w:hAnsi="Verdana" w:cstheme="minorHAnsi"/>
        </w:rPr>
        <w:t xml:space="preserve">ing </w:t>
      </w:r>
      <w:r w:rsidR="0056194D" w:rsidRPr="0056194D">
        <w:rPr>
          <w:rFonts w:ascii="Verdana" w:hAnsi="Verdana" w:cstheme="minorHAnsi"/>
        </w:rPr>
        <w:t>if any of our</w:t>
      </w:r>
      <w:r w:rsidRPr="0056194D">
        <w:rPr>
          <w:rFonts w:ascii="Verdana" w:hAnsi="Verdana" w:cstheme="minorHAnsi"/>
        </w:rPr>
        <w:t xml:space="preserve"> learner</w:t>
      </w:r>
      <w:r w:rsidR="00947B79">
        <w:rPr>
          <w:rFonts w:ascii="Verdana" w:hAnsi="Verdana" w:cstheme="minorHAnsi"/>
        </w:rPr>
        <w:t>s</w:t>
      </w:r>
      <w:r w:rsidRPr="0056194D">
        <w:rPr>
          <w:rFonts w:ascii="Verdana" w:hAnsi="Verdana" w:cstheme="minorHAnsi"/>
        </w:rPr>
        <w:t xml:space="preserve"> </w:t>
      </w:r>
      <w:r w:rsidR="0056194D" w:rsidRPr="0056194D">
        <w:rPr>
          <w:rFonts w:ascii="Verdana" w:hAnsi="Verdana" w:cstheme="minorHAnsi"/>
        </w:rPr>
        <w:t xml:space="preserve">are required </w:t>
      </w:r>
      <w:r w:rsidRPr="0056194D">
        <w:rPr>
          <w:rFonts w:ascii="Verdana" w:hAnsi="Verdana" w:cstheme="minorHAnsi"/>
        </w:rPr>
        <w:t>to re-sit. Would this be something which would be considered when planning the timetable?</w:t>
      </w:r>
    </w:p>
    <w:p w14:paraId="0603E76D" w14:textId="77777777" w:rsidR="00C42E32" w:rsidRDefault="00C42E32" w:rsidP="0056194D">
      <w:pPr>
        <w:pStyle w:val="Default"/>
        <w:rPr>
          <w:rFonts w:ascii="Verdana" w:hAnsi="Verdana" w:cs="Arial"/>
          <w:b/>
          <w:bCs/>
          <w:sz w:val="22"/>
          <w:szCs w:val="22"/>
        </w:rPr>
      </w:pPr>
    </w:p>
    <w:p w14:paraId="5ED1EC48" w14:textId="77777777" w:rsidR="00C42E32" w:rsidRPr="00DA31EE" w:rsidRDefault="00C42E32" w:rsidP="00C42E32">
      <w:pPr>
        <w:pStyle w:val="Default"/>
        <w:ind w:left="720"/>
        <w:rPr>
          <w:rFonts w:ascii="Verdana" w:hAnsi="Verdana" w:cs="Arial"/>
          <w:b/>
          <w:sz w:val="22"/>
          <w:szCs w:val="22"/>
        </w:rPr>
      </w:pPr>
      <w:r w:rsidRPr="00DA31EE">
        <w:rPr>
          <w:rFonts w:ascii="Verdana" w:hAnsi="Verdana" w:cs="Arial"/>
          <w:b/>
          <w:sz w:val="22"/>
          <w:szCs w:val="22"/>
        </w:rPr>
        <w:t>Response</w:t>
      </w:r>
    </w:p>
    <w:p w14:paraId="36625C06" w14:textId="77777777" w:rsidR="00C42E32" w:rsidRPr="00DA31EE" w:rsidRDefault="00C42E32" w:rsidP="00C42E32">
      <w:pPr>
        <w:rPr>
          <w:rFonts w:ascii="Verdana" w:eastAsia="Calibri" w:hAnsi="Verdana" w:cstheme="minorHAnsi"/>
        </w:rPr>
      </w:pPr>
    </w:p>
    <w:p w14:paraId="76713229" w14:textId="442B1FAB" w:rsidR="00C42E32" w:rsidRDefault="001D7398" w:rsidP="00C42E32">
      <w:pPr>
        <w:ind w:left="720"/>
        <w:rPr>
          <w:rFonts w:ascii="Verdana" w:eastAsia="Calibri" w:hAnsi="Verdana" w:cstheme="minorHAnsi"/>
        </w:rPr>
      </w:pPr>
      <w:r>
        <w:rPr>
          <w:rFonts w:ascii="Verdana" w:eastAsia="Calibri" w:hAnsi="Verdana" w:cstheme="minorHAnsi"/>
        </w:rPr>
        <w:t xml:space="preserve">NCFE acknowledge that, for some of our qualifications that follow the pattern of spring and summer attempts, the </w:t>
      </w:r>
      <w:r w:rsidR="00C11A10">
        <w:rPr>
          <w:rFonts w:ascii="Verdana" w:eastAsia="Calibri" w:hAnsi="Verdana" w:cstheme="minorHAnsi"/>
        </w:rPr>
        <w:t xml:space="preserve">gap from results release of the spring sitting until the booking cut-off and assessment dates for the summer </w:t>
      </w:r>
      <w:r w:rsidR="00262E55">
        <w:rPr>
          <w:rFonts w:ascii="Verdana" w:eastAsia="Calibri" w:hAnsi="Verdana" w:cstheme="minorHAnsi"/>
        </w:rPr>
        <w:t xml:space="preserve">sitting is far from ideal for centres, particularly if, as the question indicates, Enquiries About a Result </w:t>
      </w:r>
      <w:r w:rsidR="002751B3">
        <w:rPr>
          <w:rFonts w:ascii="Verdana" w:eastAsia="Calibri" w:hAnsi="Verdana" w:cstheme="minorHAnsi"/>
        </w:rPr>
        <w:t xml:space="preserve">(clerical checking and </w:t>
      </w:r>
      <w:r w:rsidR="007468EB">
        <w:rPr>
          <w:rFonts w:ascii="Verdana" w:eastAsia="Calibri" w:hAnsi="Verdana" w:cstheme="minorHAnsi"/>
        </w:rPr>
        <w:t xml:space="preserve">reviews of marking) </w:t>
      </w:r>
      <w:r w:rsidR="00262E55">
        <w:rPr>
          <w:rFonts w:ascii="Verdana" w:eastAsia="Calibri" w:hAnsi="Verdana" w:cstheme="minorHAnsi"/>
        </w:rPr>
        <w:t xml:space="preserve">are </w:t>
      </w:r>
      <w:r w:rsidR="008028DE">
        <w:rPr>
          <w:rFonts w:ascii="Verdana" w:eastAsia="Calibri" w:hAnsi="Verdana" w:cstheme="minorHAnsi"/>
        </w:rPr>
        <w:t xml:space="preserve">made for the previous sitting, which are subject to internal timescales of 30 working days </w:t>
      </w:r>
      <w:r w:rsidR="007468EB">
        <w:rPr>
          <w:rFonts w:ascii="Verdana" w:eastAsia="Calibri" w:hAnsi="Verdana" w:cstheme="minorHAnsi"/>
        </w:rPr>
        <w:t>for resolution.</w:t>
      </w:r>
    </w:p>
    <w:p w14:paraId="456ACA39" w14:textId="2CDCC426" w:rsidR="007468EB" w:rsidRDefault="007468EB" w:rsidP="00C42E32">
      <w:pPr>
        <w:ind w:left="720"/>
        <w:rPr>
          <w:rFonts w:ascii="Verdana" w:eastAsia="Calibri" w:hAnsi="Verdana" w:cstheme="minorHAnsi"/>
        </w:rPr>
      </w:pPr>
    </w:p>
    <w:p w14:paraId="69643D03" w14:textId="76C0DAE3" w:rsidR="00CA47C9" w:rsidRDefault="007468EB" w:rsidP="00CA47C9">
      <w:pPr>
        <w:ind w:left="720"/>
        <w:rPr>
          <w:rFonts w:ascii="Verdana" w:eastAsia="Calibri" w:hAnsi="Verdana" w:cstheme="minorHAnsi"/>
        </w:rPr>
      </w:pPr>
      <w:r>
        <w:rPr>
          <w:rFonts w:ascii="Verdana" w:eastAsia="Calibri" w:hAnsi="Verdana" w:cstheme="minorHAnsi"/>
        </w:rPr>
        <w:t xml:space="preserve">For this reason, NCFE undertook a secondary, follow-up consultation exercise with centres, </w:t>
      </w:r>
      <w:r w:rsidR="00CA47C9">
        <w:rPr>
          <w:rFonts w:ascii="Verdana" w:eastAsia="Calibri" w:hAnsi="Verdana" w:cstheme="minorHAnsi"/>
        </w:rPr>
        <w:t xml:space="preserve">proposing that, for the qualifications below, </w:t>
      </w:r>
      <w:r w:rsidR="00C97597" w:rsidRPr="008F4377">
        <w:rPr>
          <w:rFonts w:ascii="Verdana" w:eastAsia="Calibri" w:hAnsi="Verdana" w:cstheme="minorHAnsi"/>
          <w:b/>
          <w:bCs/>
        </w:rPr>
        <w:t xml:space="preserve">and for the 2023/24 </w:t>
      </w:r>
      <w:r w:rsidR="008F4377" w:rsidRPr="008F4377">
        <w:rPr>
          <w:rFonts w:ascii="Verdana" w:eastAsia="Calibri" w:hAnsi="Verdana" w:cstheme="minorHAnsi"/>
          <w:b/>
          <w:bCs/>
        </w:rPr>
        <w:t>assessment series only</w:t>
      </w:r>
      <w:r w:rsidR="008F4377">
        <w:rPr>
          <w:rFonts w:ascii="Verdana" w:eastAsia="Calibri" w:hAnsi="Verdana" w:cstheme="minorHAnsi"/>
        </w:rPr>
        <w:t xml:space="preserve">, </w:t>
      </w:r>
      <w:r w:rsidR="00CA47C9">
        <w:rPr>
          <w:rFonts w:ascii="Verdana" w:eastAsia="Calibri" w:hAnsi="Verdana" w:cstheme="minorHAnsi"/>
        </w:rPr>
        <w:t>there be an amendment to either the spring or summer assessment dates, to alleviate this problem.</w:t>
      </w:r>
    </w:p>
    <w:p w14:paraId="3BC5C5FF" w14:textId="2D49A167" w:rsidR="00B321B5" w:rsidRDefault="00B321B5" w:rsidP="00CA47C9">
      <w:pPr>
        <w:ind w:left="720"/>
        <w:rPr>
          <w:rFonts w:ascii="Verdana" w:eastAsia="Calibri" w:hAnsi="Verdana" w:cstheme="minorHAnsi"/>
        </w:rPr>
      </w:pPr>
    </w:p>
    <w:p w14:paraId="7CC1B71E" w14:textId="0E0C0D30" w:rsidR="00B321B5" w:rsidRDefault="00B321B5" w:rsidP="00CA47C9">
      <w:pPr>
        <w:ind w:left="720"/>
        <w:rPr>
          <w:rFonts w:ascii="Verdana" w:eastAsia="Calibri" w:hAnsi="Verdana" w:cstheme="minorHAnsi"/>
          <w:u w:val="single"/>
        </w:rPr>
      </w:pPr>
      <w:r w:rsidRPr="00B321B5">
        <w:rPr>
          <w:rFonts w:ascii="Verdana" w:eastAsia="Calibri" w:hAnsi="Verdana" w:cstheme="minorHAnsi"/>
          <w:u w:val="single"/>
        </w:rPr>
        <w:t>Qualifications in Scope</w:t>
      </w:r>
    </w:p>
    <w:p w14:paraId="7F62AD92" w14:textId="2FA77B6C" w:rsidR="00B321B5" w:rsidRDefault="00B321B5" w:rsidP="00CA47C9">
      <w:pPr>
        <w:ind w:left="720"/>
        <w:rPr>
          <w:rFonts w:ascii="Verdana" w:eastAsia="Calibri" w:hAnsi="Verdana" w:cstheme="minorHAnsi"/>
          <w:u w:val="single"/>
        </w:rPr>
      </w:pPr>
    </w:p>
    <w:tbl>
      <w:tblPr>
        <w:tblStyle w:val="TableGrid"/>
        <w:tblW w:w="10115" w:type="dxa"/>
        <w:tblInd w:w="655" w:type="dxa"/>
        <w:tblLook w:val="04A0" w:firstRow="1" w:lastRow="0" w:firstColumn="1" w:lastColumn="0" w:noHBand="0" w:noVBand="1"/>
      </w:tblPr>
      <w:tblGrid>
        <w:gridCol w:w="10115"/>
      </w:tblGrid>
      <w:tr w:rsidR="003B008E" w14:paraId="02B54777" w14:textId="77777777" w:rsidTr="009A51FC">
        <w:trPr>
          <w:trHeight w:val="251"/>
        </w:trPr>
        <w:tc>
          <w:tcPr>
            <w:tcW w:w="0" w:type="auto"/>
          </w:tcPr>
          <w:p w14:paraId="0E66396A" w14:textId="77777777" w:rsidR="003B008E" w:rsidRPr="009A51FC" w:rsidRDefault="003B008E" w:rsidP="003B008E">
            <w:pPr>
              <w:rPr>
                <w:rFonts w:ascii="Verdana" w:hAnsi="Verdana"/>
                <w:sz w:val="20"/>
                <w:szCs w:val="20"/>
              </w:rPr>
            </w:pPr>
            <w:r w:rsidRPr="009A51FC">
              <w:rPr>
                <w:rFonts w:ascii="Verdana" w:hAnsi="Verdana"/>
                <w:sz w:val="20"/>
                <w:szCs w:val="20"/>
              </w:rPr>
              <w:t>NCFE Level 1 and Level 2 Technical Awards in Interactive Media (603/0851/5 and 603/0852/7)</w:t>
            </w:r>
          </w:p>
        </w:tc>
      </w:tr>
      <w:tr w:rsidR="003B008E" w:rsidRPr="00C44585" w14:paraId="6D9F07DF" w14:textId="77777777" w:rsidTr="009A51FC">
        <w:trPr>
          <w:trHeight w:val="240"/>
        </w:trPr>
        <w:tc>
          <w:tcPr>
            <w:tcW w:w="0" w:type="auto"/>
          </w:tcPr>
          <w:p w14:paraId="7F835D4B" w14:textId="77777777" w:rsidR="003B008E" w:rsidRPr="009A51FC" w:rsidRDefault="003B008E" w:rsidP="003B008E">
            <w:pPr>
              <w:rPr>
                <w:rFonts w:ascii="Verdana" w:hAnsi="Verdana" w:cstheme="minorHAnsi"/>
                <w:sz w:val="20"/>
                <w:szCs w:val="20"/>
              </w:rPr>
            </w:pPr>
            <w:r w:rsidRPr="009A51FC">
              <w:rPr>
                <w:rFonts w:ascii="Verdana" w:hAnsi="Verdana" w:cstheme="minorHAnsi"/>
                <w:sz w:val="20"/>
                <w:szCs w:val="20"/>
                <w:shd w:val="clear" w:color="auto" w:fill="FAF9F8"/>
              </w:rPr>
              <w:t>NCFE Level 1 and Level 2 Technical Awards in Graphic Design</w:t>
            </w:r>
            <w:r w:rsidRPr="009A51FC">
              <w:rPr>
                <w:rFonts w:ascii="Verdana" w:hAnsi="Verdana" w:cstheme="minorHAnsi"/>
                <w:sz w:val="20"/>
                <w:szCs w:val="20"/>
              </w:rPr>
              <w:t xml:space="preserve"> (603/0844/8 and 603/0845/X)</w:t>
            </w:r>
          </w:p>
        </w:tc>
      </w:tr>
      <w:tr w:rsidR="003B008E" w:rsidRPr="00512109" w14:paraId="10EFB856" w14:textId="77777777" w:rsidTr="009A51FC">
        <w:trPr>
          <w:trHeight w:val="492"/>
        </w:trPr>
        <w:tc>
          <w:tcPr>
            <w:tcW w:w="0" w:type="auto"/>
          </w:tcPr>
          <w:p w14:paraId="08FDF013" w14:textId="77777777" w:rsidR="003B008E" w:rsidRPr="009A51FC" w:rsidRDefault="003B008E" w:rsidP="003B008E">
            <w:pPr>
              <w:rPr>
                <w:rFonts w:ascii="Verdana" w:hAnsi="Verdana" w:cstheme="minorHAnsi"/>
                <w:sz w:val="20"/>
                <w:szCs w:val="20"/>
              </w:rPr>
            </w:pPr>
            <w:r w:rsidRPr="009A51FC">
              <w:rPr>
                <w:rFonts w:ascii="Verdana" w:hAnsi="Verdana" w:cstheme="minorHAnsi"/>
                <w:sz w:val="20"/>
                <w:szCs w:val="20"/>
                <w:shd w:val="clear" w:color="auto" w:fill="FAF9F8"/>
              </w:rPr>
              <w:t>NCFE CACHE Technical Level 3 Diploma in Childcare and Education (Early Years Educator) (601/8437/1)</w:t>
            </w:r>
          </w:p>
        </w:tc>
      </w:tr>
      <w:tr w:rsidR="003B008E" w14:paraId="4EA7BBF0" w14:textId="77777777" w:rsidTr="009A51FC">
        <w:trPr>
          <w:trHeight w:val="492"/>
        </w:trPr>
        <w:tc>
          <w:tcPr>
            <w:tcW w:w="0" w:type="auto"/>
          </w:tcPr>
          <w:p w14:paraId="577F6DE5" w14:textId="77777777" w:rsidR="003B008E" w:rsidRPr="009A51FC" w:rsidRDefault="003B008E" w:rsidP="003B008E">
            <w:pPr>
              <w:rPr>
                <w:rFonts w:ascii="Verdana" w:hAnsi="Verdana"/>
                <w:sz w:val="20"/>
                <w:szCs w:val="20"/>
              </w:rPr>
            </w:pPr>
            <w:r w:rsidRPr="009A51FC">
              <w:rPr>
                <w:rFonts w:ascii="Verdana" w:hAnsi="Verdana" w:cstheme="minorHAnsi"/>
                <w:sz w:val="20"/>
                <w:szCs w:val="20"/>
                <w:shd w:val="clear" w:color="auto" w:fill="FAF9F8"/>
              </w:rPr>
              <w:t>NCFE CACHE Technical Level 3 Certificate in Childcare and Education (Early Years Educator (601/8436/X)</w:t>
            </w:r>
          </w:p>
        </w:tc>
      </w:tr>
      <w:tr w:rsidR="003B008E" w:rsidRPr="001131D8" w14:paraId="578AB2F6" w14:textId="77777777" w:rsidTr="009A51FC">
        <w:trPr>
          <w:trHeight w:val="502"/>
        </w:trPr>
        <w:tc>
          <w:tcPr>
            <w:tcW w:w="0" w:type="auto"/>
          </w:tcPr>
          <w:p w14:paraId="13E1C68C" w14:textId="16110450" w:rsidR="003B008E" w:rsidRPr="009A51FC" w:rsidRDefault="003B008E" w:rsidP="003B008E">
            <w:pPr>
              <w:rPr>
                <w:rFonts w:ascii="Verdana" w:hAnsi="Verdana" w:cstheme="minorHAnsi"/>
                <w:sz w:val="20"/>
                <w:szCs w:val="20"/>
              </w:rPr>
            </w:pPr>
            <w:r w:rsidRPr="009A51FC">
              <w:rPr>
                <w:rFonts w:ascii="Verdana" w:hAnsi="Verdana" w:cstheme="minorHAnsi"/>
                <w:sz w:val="20"/>
                <w:szCs w:val="20"/>
                <w:shd w:val="clear" w:color="auto" w:fill="FAF9F8"/>
              </w:rPr>
              <w:t>NCFE CACHE Technical Level 3 Diploma in Early Years Education and Care (Early Years Educator) (601/8438/3)</w:t>
            </w:r>
          </w:p>
        </w:tc>
      </w:tr>
      <w:tr w:rsidR="003B008E" w:rsidRPr="001131D8" w14:paraId="504FB560" w14:textId="77777777" w:rsidTr="009A51FC">
        <w:trPr>
          <w:trHeight w:val="492"/>
        </w:trPr>
        <w:tc>
          <w:tcPr>
            <w:tcW w:w="0" w:type="auto"/>
          </w:tcPr>
          <w:p w14:paraId="7F0079DB" w14:textId="38846D7A" w:rsidR="003B008E" w:rsidRPr="009A51FC" w:rsidRDefault="003B008E" w:rsidP="003B008E">
            <w:pPr>
              <w:rPr>
                <w:rFonts w:ascii="Verdana" w:hAnsi="Verdana" w:cstheme="minorHAnsi"/>
                <w:sz w:val="20"/>
                <w:szCs w:val="20"/>
              </w:rPr>
            </w:pPr>
            <w:r w:rsidRPr="009A51FC">
              <w:rPr>
                <w:rFonts w:ascii="Verdana" w:hAnsi="Verdana" w:cstheme="minorHAnsi"/>
                <w:sz w:val="20"/>
                <w:szCs w:val="20"/>
                <w:shd w:val="clear" w:color="auto" w:fill="FAF9F8"/>
              </w:rPr>
              <w:t>NCFE CACHE Technical Level 3 Diploma in Early Years Education and Care (Early Years Educator) 601/8438/3)</w:t>
            </w:r>
          </w:p>
        </w:tc>
      </w:tr>
      <w:tr w:rsidR="003B008E" w:rsidRPr="00307F36" w14:paraId="74E57C37" w14:textId="77777777" w:rsidTr="009A51FC">
        <w:trPr>
          <w:trHeight w:val="240"/>
        </w:trPr>
        <w:tc>
          <w:tcPr>
            <w:tcW w:w="0" w:type="auto"/>
          </w:tcPr>
          <w:p w14:paraId="1CEE1698" w14:textId="77777777" w:rsidR="003B008E" w:rsidRPr="009A51FC" w:rsidRDefault="003B008E" w:rsidP="003B008E">
            <w:pPr>
              <w:rPr>
                <w:rFonts w:ascii="Verdana" w:hAnsi="Verdana" w:cstheme="minorHAnsi"/>
                <w:sz w:val="20"/>
                <w:szCs w:val="20"/>
              </w:rPr>
            </w:pPr>
            <w:r w:rsidRPr="009A51FC">
              <w:rPr>
                <w:rFonts w:ascii="Verdana" w:hAnsi="Verdana" w:cstheme="minorHAnsi"/>
                <w:sz w:val="20"/>
                <w:szCs w:val="20"/>
                <w:shd w:val="clear" w:color="auto" w:fill="FAF9F8"/>
              </w:rPr>
              <w:t>NCFE CACHE Technical Level 3 Certificate in Health and Social Care (601/8434/6)</w:t>
            </w:r>
          </w:p>
        </w:tc>
      </w:tr>
      <w:tr w:rsidR="003B008E" w:rsidRPr="00307F36" w14:paraId="4DD72B91" w14:textId="77777777" w:rsidTr="009A51FC">
        <w:trPr>
          <w:trHeight w:val="251"/>
        </w:trPr>
        <w:tc>
          <w:tcPr>
            <w:tcW w:w="0" w:type="auto"/>
          </w:tcPr>
          <w:p w14:paraId="22DB3042" w14:textId="77777777" w:rsidR="003B008E" w:rsidRPr="009A51FC" w:rsidRDefault="003B008E" w:rsidP="003B008E">
            <w:pPr>
              <w:rPr>
                <w:rFonts w:ascii="Verdana" w:hAnsi="Verdana" w:cstheme="minorHAnsi"/>
                <w:sz w:val="20"/>
                <w:szCs w:val="20"/>
              </w:rPr>
            </w:pPr>
            <w:r w:rsidRPr="009A51FC">
              <w:rPr>
                <w:rFonts w:ascii="Verdana" w:hAnsi="Verdana" w:cstheme="minorHAnsi"/>
                <w:sz w:val="20"/>
                <w:szCs w:val="20"/>
                <w:shd w:val="clear" w:color="auto" w:fill="FAF9F8"/>
              </w:rPr>
              <w:t>NCFE CACHE Technical Level 3 Extended Diploma in Health and Social Care (601/8435/8)</w:t>
            </w:r>
          </w:p>
        </w:tc>
      </w:tr>
    </w:tbl>
    <w:p w14:paraId="47369EBF" w14:textId="77777777" w:rsidR="00B321B5" w:rsidRPr="00B321B5" w:rsidRDefault="00B321B5" w:rsidP="00CA47C9">
      <w:pPr>
        <w:ind w:left="720"/>
        <w:rPr>
          <w:rFonts w:ascii="Verdana" w:eastAsia="Calibri" w:hAnsi="Verdana" w:cstheme="minorHAnsi"/>
          <w:u w:val="single"/>
        </w:rPr>
      </w:pPr>
    </w:p>
    <w:p w14:paraId="38DE0EEE" w14:textId="77777777" w:rsidR="006A660C" w:rsidRPr="009A51FC" w:rsidRDefault="006A660C" w:rsidP="009A51FC">
      <w:pPr>
        <w:rPr>
          <w:rFonts w:ascii="Verdana" w:hAnsi="Verdana"/>
          <w:b/>
          <w:bCs/>
        </w:rPr>
      </w:pPr>
    </w:p>
    <w:p w14:paraId="79540A1E" w14:textId="7CF5D690" w:rsidR="00035FA4" w:rsidRPr="00F05B9E" w:rsidRDefault="008F4377" w:rsidP="00035FA4">
      <w:pPr>
        <w:pStyle w:val="Default"/>
        <w:ind w:left="720"/>
        <w:rPr>
          <w:rFonts w:ascii="Verdana" w:hAnsi="Verdana" w:cs="Arial"/>
          <w:sz w:val="22"/>
          <w:szCs w:val="22"/>
        </w:rPr>
      </w:pPr>
      <w:r>
        <w:rPr>
          <w:rFonts w:ascii="Verdana" w:hAnsi="Verdana" w:cs="Arial"/>
          <w:sz w:val="22"/>
          <w:szCs w:val="22"/>
        </w:rPr>
        <w:t xml:space="preserve">In each of the cases above, </w:t>
      </w:r>
      <w:r w:rsidR="003E24CF">
        <w:rPr>
          <w:rFonts w:ascii="Verdana" w:hAnsi="Verdana" w:cs="Arial"/>
          <w:sz w:val="22"/>
          <w:szCs w:val="22"/>
        </w:rPr>
        <w:t>the assessment dates have now been amended</w:t>
      </w:r>
      <w:r w:rsidR="00D111EC">
        <w:rPr>
          <w:rFonts w:ascii="Verdana" w:hAnsi="Verdana" w:cs="Arial"/>
          <w:sz w:val="22"/>
          <w:szCs w:val="22"/>
        </w:rPr>
        <w:t xml:space="preserve">, </w:t>
      </w:r>
      <w:r w:rsidR="003E24CF">
        <w:rPr>
          <w:rFonts w:ascii="Verdana" w:hAnsi="Verdana" w:cs="Arial"/>
          <w:sz w:val="22"/>
          <w:szCs w:val="22"/>
        </w:rPr>
        <w:t>either</w:t>
      </w:r>
      <w:r w:rsidR="00D111EC">
        <w:rPr>
          <w:rFonts w:ascii="Verdana" w:hAnsi="Verdana" w:cs="Arial"/>
          <w:sz w:val="22"/>
          <w:szCs w:val="22"/>
        </w:rPr>
        <w:t xml:space="preserve"> by bringing the</w:t>
      </w:r>
      <w:r w:rsidR="003E24CF">
        <w:rPr>
          <w:rFonts w:ascii="Verdana" w:hAnsi="Verdana" w:cs="Arial"/>
          <w:sz w:val="22"/>
          <w:szCs w:val="22"/>
        </w:rPr>
        <w:t xml:space="preserve"> spring window </w:t>
      </w:r>
      <w:r w:rsidR="00D111EC">
        <w:rPr>
          <w:rFonts w:ascii="Verdana" w:hAnsi="Verdana" w:cs="Arial"/>
          <w:sz w:val="22"/>
          <w:szCs w:val="22"/>
        </w:rPr>
        <w:t xml:space="preserve">forward, or by delaying the summer assessment dates, so that we maximise the gap between </w:t>
      </w:r>
      <w:r w:rsidR="00B227B0">
        <w:rPr>
          <w:rFonts w:ascii="Verdana" w:hAnsi="Verdana" w:cs="Arial"/>
          <w:sz w:val="22"/>
          <w:szCs w:val="22"/>
        </w:rPr>
        <w:t>the completion of the spring window (allowing for any post-results service requirements) and the initiation of the summer window.</w:t>
      </w:r>
      <w:r w:rsidR="007F76BE">
        <w:rPr>
          <w:rFonts w:ascii="Verdana" w:hAnsi="Verdana" w:cs="Arial"/>
          <w:sz w:val="22"/>
          <w:szCs w:val="22"/>
        </w:rPr>
        <w:t xml:space="preserve"> </w:t>
      </w:r>
      <w:r w:rsidR="001865CD">
        <w:rPr>
          <w:rFonts w:ascii="Verdana" w:hAnsi="Verdana" w:cs="Arial"/>
          <w:sz w:val="22"/>
          <w:szCs w:val="22"/>
        </w:rPr>
        <w:t>Maximising this gap does not alter the timeframes by which Enquiries About a Result are resolved</w:t>
      </w:r>
      <w:r w:rsidR="001E305B">
        <w:rPr>
          <w:rFonts w:ascii="Verdana" w:hAnsi="Verdana" w:cs="Arial"/>
          <w:sz w:val="22"/>
          <w:szCs w:val="22"/>
        </w:rPr>
        <w:t>, but it will increase the likelihood of a resolution before the subsequent assessment begins, if not before the booking cut-off date.</w:t>
      </w:r>
    </w:p>
    <w:p w14:paraId="69BFBDE1" w14:textId="182522B8" w:rsidR="006A660C" w:rsidRPr="00F05B9E" w:rsidRDefault="006A660C" w:rsidP="00035FA4">
      <w:pPr>
        <w:pStyle w:val="Default"/>
        <w:ind w:left="720"/>
        <w:rPr>
          <w:rFonts w:ascii="Verdana" w:hAnsi="Verdana" w:cs="Arial"/>
          <w:sz w:val="22"/>
          <w:szCs w:val="22"/>
        </w:rPr>
      </w:pPr>
    </w:p>
    <w:p w14:paraId="63B1B719" w14:textId="33CA1426" w:rsidR="006A660C" w:rsidRPr="00F05B9E" w:rsidRDefault="006A660C" w:rsidP="00035FA4">
      <w:pPr>
        <w:pStyle w:val="Default"/>
        <w:ind w:left="720"/>
        <w:rPr>
          <w:rFonts w:ascii="Verdana" w:hAnsi="Verdana" w:cs="Arial"/>
          <w:sz w:val="22"/>
          <w:szCs w:val="22"/>
        </w:rPr>
      </w:pPr>
    </w:p>
    <w:p w14:paraId="6A73B604" w14:textId="741AAAD7" w:rsidR="006A660C" w:rsidRPr="00F05B9E" w:rsidRDefault="006A660C" w:rsidP="00035FA4">
      <w:pPr>
        <w:pStyle w:val="Default"/>
        <w:ind w:left="720"/>
        <w:rPr>
          <w:rFonts w:ascii="Verdana" w:hAnsi="Verdana" w:cs="Arial"/>
          <w:sz w:val="22"/>
          <w:szCs w:val="22"/>
        </w:rPr>
      </w:pPr>
    </w:p>
    <w:p w14:paraId="05AF5F15" w14:textId="062EC898" w:rsidR="006A660C" w:rsidRDefault="006A660C" w:rsidP="00F05B9E">
      <w:pPr>
        <w:pStyle w:val="Default"/>
        <w:rPr>
          <w:rFonts w:ascii="Verdana" w:hAnsi="Verdana" w:cs="Arial"/>
          <w:sz w:val="22"/>
          <w:szCs w:val="22"/>
        </w:rPr>
      </w:pPr>
    </w:p>
    <w:p w14:paraId="4BD22850" w14:textId="58616EA3" w:rsidR="00F05B9E" w:rsidRDefault="00F05B9E" w:rsidP="00F05B9E">
      <w:pPr>
        <w:pStyle w:val="Default"/>
        <w:rPr>
          <w:rFonts w:ascii="Verdana" w:hAnsi="Verdana" w:cs="Arial"/>
          <w:sz w:val="22"/>
          <w:szCs w:val="22"/>
        </w:rPr>
      </w:pPr>
    </w:p>
    <w:p w14:paraId="5922E144" w14:textId="77777777" w:rsidR="006A660C" w:rsidRPr="00F05B9E" w:rsidRDefault="006A660C" w:rsidP="00035FA4">
      <w:pPr>
        <w:pStyle w:val="Default"/>
        <w:ind w:left="720"/>
        <w:rPr>
          <w:rFonts w:ascii="Verdana" w:hAnsi="Verdana" w:cs="Arial"/>
          <w:sz w:val="22"/>
          <w:szCs w:val="22"/>
        </w:rPr>
      </w:pPr>
    </w:p>
    <w:p w14:paraId="4EC32742" w14:textId="2FC5F93A" w:rsidR="00035FA4" w:rsidRPr="00F05B9E" w:rsidRDefault="00035FA4" w:rsidP="00035FA4">
      <w:pPr>
        <w:pStyle w:val="Default"/>
        <w:ind w:left="720"/>
        <w:rPr>
          <w:rFonts w:ascii="Verdana" w:hAnsi="Verdana" w:cs="Arial"/>
          <w:sz w:val="22"/>
          <w:szCs w:val="22"/>
        </w:rPr>
      </w:pPr>
    </w:p>
    <w:p w14:paraId="69DEA13E" w14:textId="63B5A11C" w:rsidR="00E23C7F" w:rsidRPr="00F05B9E" w:rsidRDefault="00E23C7F" w:rsidP="00E23C7F">
      <w:pPr>
        <w:pStyle w:val="Default"/>
        <w:ind w:left="720"/>
        <w:rPr>
          <w:rFonts w:ascii="Verdana" w:hAnsi="Verdana" w:cs="Arial"/>
          <w:sz w:val="22"/>
          <w:szCs w:val="22"/>
        </w:rPr>
      </w:pPr>
    </w:p>
    <w:p w14:paraId="4B72D998" w14:textId="101278FC" w:rsidR="00035FA4" w:rsidRPr="00F05B9E" w:rsidRDefault="00035FA4" w:rsidP="00035FA4">
      <w:pPr>
        <w:pStyle w:val="Default"/>
        <w:rPr>
          <w:rFonts w:ascii="Verdana" w:hAnsi="Verdana" w:cs="Arial"/>
          <w:b/>
          <w:sz w:val="22"/>
          <w:szCs w:val="22"/>
        </w:rPr>
      </w:pPr>
    </w:p>
    <w:p w14:paraId="3AC626B7" w14:textId="77777777" w:rsidR="00CD3982" w:rsidRPr="00F05B9E" w:rsidRDefault="00CD3982" w:rsidP="00E23C7F">
      <w:pPr>
        <w:pStyle w:val="Default"/>
        <w:ind w:left="720"/>
        <w:rPr>
          <w:rFonts w:ascii="Verdana" w:hAnsi="Verdana" w:cs="Arial"/>
          <w:sz w:val="22"/>
          <w:szCs w:val="22"/>
        </w:rPr>
      </w:pPr>
    </w:p>
    <w:p w14:paraId="7321BF08" w14:textId="77777777" w:rsidR="00F15DFF" w:rsidRPr="00F05B9E" w:rsidRDefault="00F15DFF" w:rsidP="00E23C7F">
      <w:pPr>
        <w:pStyle w:val="Default"/>
        <w:ind w:left="720"/>
        <w:rPr>
          <w:rFonts w:ascii="Verdana" w:hAnsi="Verdana" w:cs="Arial"/>
          <w:sz w:val="22"/>
          <w:szCs w:val="22"/>
        </w:rPr>
      </w:pPr>
    </w:p>
    <w:p w14:paraId="60DC5C86" w14:textId="77777777" w:rsidR="00CC4BEA" w:rsidRPr="00035FA4" w:rsidRDefault="00CC4BEA" w:rsidP="00CC4BEA">
      <w:pPr>
        <w:pStyle w:val="Default"/>
        <w:rPr>
          <w:rFonts w:ascii="Arial" w:hAnsi="Arial" w:cs="Arial"/>
          <w:b/>
        </w:rPr>
      </w:pPr>
    </w:p>
    <w:sectPr w:rsidR="00CC4BEA" w:rsidRPr="00035FA4" w:rsidSect="00762126">
      <w:headerReference w:type="default" r:id="rId11"/>
      <w:footerReference w:type="default" r:id="rId12"/>
      <w:type w:val="continuous"/>
      <w:pgSz w:w="11910" w:h="16840"/>
      <w:pgMar w:top="920" w:right="660" w:bottom="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1AD9" w14:textId="77777777" w:rsidR="00C644FB" w:rsidRDefault="00C644FB" w:rsidP="00762126">
      <w:r>
        <w:separator/>
      </w:r>
    </w:p>
  </w:endnote>
  <w:endnote w:type="continuationSeparator" w:id="0">
    <w:p w14:paraId="691E9919" w14:textId="77777777" w:rsidR="00C644FB" w:rsidRDefault="00C644FB" w:rsidP="0076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7519" w14:textId="01BF285C" w:rsidR="00343640" w:rsidRDefault="00343640" w:rsidP="00343640">
    <w:pPr>
      <w:pStyle w:val="Footer"/>
      <w:ind w:left="-142"/>
    </w:pPr>
    <w:r w:rsidRPr="00826111">
      <w:rPr>
        <w:b/>
        <w:sz w:val="18"/>
        <w:szCs w:val="18"/>
      </w:rPr>
      <w:t xml:space="preserve">Version 1.1  </w:t>
    </w:r>
    <w:r>
      <w:rPr>
        <w:b/>
        <w:sz w:val="18"/>
        <w:szCs w:val="18"/>
      </w:rPr>
      <w:t xml:space="preserve">  </w:t>
    </w:r>
    <w:r>
      <w:rPr>
        <w:sz w:val="18"/>
        <w:szCs w:val="18"/>
      </w:rPr>
      <w:t>September</w:t>
    </w:r>
    <w:r w:rsidRPr="00826111">
      <w:rPr>
        <w:sz w:val="18"/>
        <w:szCs w:val="18"/>
      </w:rPr>
      <w:t xml:space="preserve"> </w:t>
    </w:r>
    <w:r>
      <w:rPr>
        <w:sz w:val="18"/>
        <w:szCs w:val="18"/>
      </w:rPr>
      <w:t>202</w:t>
    </w:r>
    <w:r w:rsidR="005B57F4">
      <w:rPr>
        <w:sz w:val="18"/>
        <w:szCs w:val="18"/>
      </w:rPr>
      <w:t>2</w:t>
    </w:r>
    <w:r>
      <w:rPr>
        <w:sz w:val="18"/>
        <w:szCs w:val="18"/>
      </w:rPr>
      <w:t xml:space="preserve"> </w:t>
    </w:r>
    <w:r>
      <w:ptab w:relativeTo="margin" w:alignment="center" w:leader="none"/>
    </w:r>
    <w:r>
      <w:ptab w:relativeTo="margin" w:alignment="right" w:leader="none"/>
    </w:r>
    <w:r>
      <w:t xml:space="preserve">   </w:t>
    </w:r>
    <w:r>
      <w:rPr>
        <w:b/>
        <w:sz w:val="18"/>
        <w:szCs w:val="18"/>
      </w:rPr>
      <w:t xml:space="preserve">Visit </w:t>
    </w:r>
    <w:r w:rsidRPr="00E81994">
      <w:rPr>
        <w:sz w:val="18"/>
        <w:szCs w:val="18"/>
      </w:rPr>
      <w:t>ncfe.org.uk</w:t>
    </w:r>
    <w:r>
      <w:rPr>
        <w:b/>
        <w:sz w:val="18"/>
        <w:szCs w:val="18"/>
      </w:rPr>
      <w:t xml:space="preserve">    Call </w:t>
    </w:r>
    <w:r w:rsidRPr="00E81994">
      <w:rPr>
        <w:sz w:val="18"/>
        <w:szCs w:val="18"/>
      </w:rPr>
      <w:t>0191 239 8000</w:t>
    </w:r>
  </w:p>
  <w:p w14:paraId="34FD1112" w14:textId="5BF2FBD8" w:rsidR="00343640" w:rsidRDefault="0034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F5A8" w14:textId="77777777" w:rsidR="00C644FB" w:rsidRDefault="00C644FB" w:rsidP="00762126">
      <w:r>
        <w:separator/>
      </w:r>
    </w:p>
  </w:footnote>
  <w:footnote w:type="continuationSeparator" w:id="0">
    <w:p w14:paraId="027F44FD" w14:textId="77777777" w:rsidR="00C644FB" w:rsidRDefault="00C644FB" w:rsidP="0076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BC18" w14:textId="745B6CC3" w:rsidR="00A629AC" w:rsidRDefault="00A629AC">
    <w:pPr>
      <w:pStyle w:val="Header"/>
    </w:pPr>
    <w:r>
      <w:rPr>
        <w:noProof/>
      </w:rPr>
      <w:drawing>
        <wp:anchor distT="0" distB="0" distL="114300" distR="114300" simplePos="0" relativeHeight="251659264" behindDoc="1" locked="0" layoutInCell="1" allowOverlap="1" wp14:anchorId="7C1C8914" wp14:editId="7978A9C5">
          <wp:simplePos x="0" y="0"/>
          <wp:positionH relativeFrom="page">
            <wp:posOffset>31391</wp:posOffset>
          </wp:positionH>
          <wp:positionV relativeFrom="page">
            <wp:posOffset>17252</wp:posOffset>
          </wp:positionV>
          <wp:extent cx="75342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3E1B"/>
    <w:multiLevelType w:val="hybridMultilevel"/>
    <w:tmpl w:val="BCB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25989"/>
    <w:multiLevelType w:val="hybridMultilevel"/>
    <w:tmpl w:val="CA1A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7403F"/>
    <w:multiLevelType w:val="hybridMultilevel"/>
    <w:tmpl w:val="2E54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778723">
    <w:abstractNumId w:val="0"/>
  </w:num>
  <w:num w:numId="2" w16cid:durableId="806708396">
    <w:abstractNumId w:val="1"/>
  </w:num>
  <w:num w:numId="3" w16cid:durableId="382942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10"/>
    <w:rsid w:val="0001291D"/>
    <w:rsid w:val="0001764B"/>
    <w:rsid w:val="0002261C"/>
    <w:rsid w:val="00035FA4"/>
    <w:rsid w:val="00037FAD"/>
    <w:rsid w:val="000831E1"/>
    <w:rsid w:val="00083830"/>
    <w:rsid w:val="000906D7"/>
    <w:rsid w:val="000B43CC"/>
    <w:rsid w:val="000C439A"/>
    <w:rsid w:val="000C6E5E"/>
    <w:rsid w:val="00113842"/>
    <w:rsid w:val="00140966"/>
    <w:rsid w:val="00172D54"/>
    <w:rsid w:val="001819B1"/>
    <w:rsid w:val="001865CD"/>
    <w:rsid w:val="001D7398"/>
    <w:rsid w:val="001E305B"/>
    <w:rsid w:val="00207FCF"/>
    <w:rsid w:val="0024545F"/>
    <w:rsid w:val="0024695A"/>
    <w:rsid w:val="00262E55"/>
    <w:rsid w:val="00272421"/>
    <w:rsid w:val="002751B3"/>
    <w:rsid w:val="00284564"/>
    <w:rsid w:val="00305036"/>
    <w:rsid w:val="00330DDA"/>
    <w:rsid w:val="00343640"/>
    <w:rsid w:val="00360DC2"/>
    <w:rsid w:val="0037197E"/>
    <w:rsid w:val="003746AD"/>
    <w:rsid w:val="003906EB"/>
    <w:rsid w:val="003B008E"/>
    <w:rsid w:val="003D40DA"/>
    <w:rsid w:val="003E24CF"/>
    <w:rsid w:val="00442633"/>
    <w:rsid w:val="00450D4D"/>
    <w:rsid w:val="004C7EF4"/>
    <w:rsid w:val="004F2C8F"/>
    <w:rsid w:val="0053285D"/>
    <w:rsid w:val="0056194D"/>
    <w:rsid w:val="005742A7"/>
    <w:rsid w:val="005A5B33"/>
    <w:rsid w:val="005B57F4"/>
    <w:rsid w:val="005D53A5"/>
    <w:rsid w:val="005E2ACD"/>
    <w:rsid w:val="00616BD8"/>
    <w:rsid w:val="00624ECD"/>
    <w:rsid w:val="006A06D7"/>
    <w:rsid w:val="006A660C"/>
    <w:rsid w:val="006C3202"/>
    <w:rsid w:val="006D7810"/>
    <w:rsid w:val="00703FEA"/>
    <w:rsid w:val="00713458"/>
    <w:rsid w:val="00715380"/>
    <w:rsid w:val="00727A68"/>
    <w:rsid w:val="00733A5D"/>
    <w:rsid w:val="0074379E"/>
    <w:rsid w:val="007468EB"/>
    <w:rsid w:val="00762126"/>
    <w:rsid w:val="007663FF"/>
    <w:rsid w:val="007704EC"/>
    <w:rsid w:val="00792DDF"/>
    <w:rsid w:val="007F0C59"/>
    <w:rsid w:val="007F76BE"/>
    <w:rsid w:val="008028DE"/>
    <w:rsid w:val="00804282"/>
    <w:rsid w:val="00826436"/>
    <w:rsid w:val="008A08DF"/>
    <w:rsid w:val="008C2D32"/>
    <w:rsid w:val="008F4377"/>
    <w:rsid w:val="00947B79"/>
    <w:rsid w:val="00961B46"/>
    <w:rsid w:val="00984A08"/>
    <w:rsid w:val="00995CC7"/>
    <w:rsid w:val="0099626E"/>
    <w:rsid w:val="009A51FC"/>
    <w:rsid w:val="009A5536"/>
    <w:rsid w:val="009C2615"/>
    <w:rsid w:val="009C7997"/>
    <w:rsid w:val="009D5ABD"/>
    <w:rsid w:val="009E6FEE"/>
    <w:rsid w:val="00A07216"/>
    <w:rsid w:val="00A34068"/>
    <w:rsid w:val="00A35D09"/>
    <w:rsid w:val="00A518BA"/>
    <w:rsid w:val="00A629AC"/>
    <w:rsid w:val="00AE045B"/>
    <w:rsid w:val="00AE4A47"/>
    <w:rsid w:val="00B12F45"/>
    <w:rsid w:val="00B16F50"/>
    <w:rsid w:val="00B227B0"/>
    <w:rsid w:val="00B321B5"/>
    <w:rsid w:val="00BD7437"/>
    <w:rsid w:val="00BE3FBE"/>
    <w:rsid w:val="00BF743B"/>
    <w:rsid w:val="00C11A10"/>
    <w:rsid w:val="00C402E0"/>
    <w:rsid w:val="00C42E32"/>
    <w:rsid w:val="00C644FB"/>
    <w:rsid w:val="00C97597"/>
    <w:rsid w:val="00CA47C9"/>
    <w:rsid w:val="00CB13A2"/>
    <w:rsid w:val="00CC4BA7"/>
    <w:rsid w:val="00CC4BEA"/>
    <w:rsid w:val="00CD3982"/>
    <w:rsid w:val="00CD5DE1"/>
    <w:rsid w:val="00D111EC"/>
    <w:rsid w:val="00D123A5"/>
    <w:rsid w:val="00D52F61"/>
    <w:rsid w:val="00D76082"/>
    <w:rsid w:val="00D973F9"/>
    <w:rsid w:val="00DA31EE"/>
    <w:rsid w:val="00DA4C45"/>
    <w:rsid w:val="00E02085"/>
    <w:rsid w:val="00E0605C"/>
    <w:rsid w:val="00E23C7F"/>
    <w:rsid w:val="00E4291C"/>
    <w:rsid w:val="00E57C82"/>
    <w:rsid w:val="00EA60C6"/>
    <w:rsid w:val="00EB0575"/>
    <w:rsid w:val="00EC197E"/>
    <w:rsid w:val="00ED0975"/>
    <w:rsid w:val="00EE1A76"/>
    <w:rsid w:val="00EF2376"/>
    <w:rsid w:val="00F05B9E"/>
    <w:rsid w:val="00F15DFF"/>
    <w:rsid w:val="00F25A51"/>
    <w:rsid w:val="00F419F7"/>
    <w:rsid w:val="00FC715D"/>
    <w:rsid w:val="00FF0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41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34"/>
      <w:szCs w:val="1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906D7"/>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0906D7"/>
    <w:rPr>
      <w:rFonts w:eastAsiaTheme="minorEastAsia"/>
      <w:lang w:eastAsia="zh-CN"/>
    </w:rPr>
  </w:style>
  <w:style w:type="paragraph" w:styleId="Header">
    <w:name w:val="header"/>
    <w:basedOn w:val="Normal"/>
    <w:link w:val="HeaderChar"/>
    <w:uiPriority w:val="99"/>
    <w:unhideWhenUsed/>
    <w:rsid w:val="00762126"/>
    <w:pPr>
      <w:tabs>
        <w:tab w:val="center" w:pos="4513"/>
        <w:tab w:val="right" w:pos="9026"/>
      </w:tabs>
    </w:pPr>
  </w:style>
  <w:style w:type="character" w:customStyle="1" w:styleId="HeaderChar">
    <w:name w:val="Header Char"/>
    <w:basedOn w:val="DefaultParagraphFont"/>
    <w:link w:val="Header"/>
    <w:uiPriority w:val="99"/>
    <w:rsid w:val="00762126"/>
    <w:rPr>
      <w:rFonts w:ascii="Arial" w:eastAsia="Arial" w:hAnsi="Arial" w:cs="Arial"/>
      <w:lang w:val="en-GB" w:eastAsia="en-GB" w:bidi="en-GB"/>
    </w:rPr>
  </w:style>
  <w:style w:type="paragraph" w:styleId="Footer">
    <w:name w:val="footer"/>
    <w:basedOn w:val="Normal"/>
    <w:link w:val="FooterChar"/>
    <w:uiPriority w:val="99"/>
    <w:unhideWhenUsed/>
    <w:rsid w:val="00762126"/>
    <w:pPr>
      <w:tabs>
        <w:tab w:val="center" w:pos="4513"/>
        <w:tab w:val="right" w:pos="9026"/>
      </w:tabs>
    </w:pPr>
  </w:style>
  <w:style w:type="character" w:customStyle="1" w:styleId="FooterChar">
    <w:name w:val="Footer Char"/>
    <w:basedOn w:val="DefaultParagraphFont"/>
    <w:link w:val="Footer"/>
    <w:uiPriority w:val="99"/>
    <w:rsid w:val="00762126"/>
    <w:rPr>
      <w:rFonts w:ascii="Arial" w:eastAsia="Arial" w:hAnsi="Arial" w:cs="Arial"/>
      <w:lang w:val="en-GB" w:eastAsia="en-GB" w:bidi="en-GB"/>
    </w:rPr>
  </w:style>
  <w:style w:type="paragraph" w:customStyle="1" w:styleId="Default">
    <w:name w:val="Default"/>
    <w:rsid w:val="007663FF"/>
    <w:pPr>
      <w:widowControl/>
      <w:adjustRightInd w:val="0"/>
    </w:pPr>
    <w:rPr>
      <w:rFonts w:ascii="Tahoma" w:hAnsi="Tahoma" w:cs="Tahoma"/>
      <w:color w:val="000000"/>
      <w:sz w:val="24"/>
      <w:szCs w:val="24"/>
      <w:lang w:val="en-GB"/>
    </w:rPr>
  </w:style>
  <w:style w:type="character" w:styleId="Hyperlink">
    <w:name w:val="Hyperlink"/>
    <w:basedOn w:val="DefaultParagraphFont"/>
    <w:uiPriority w:val="99"/>
    <w:unhideWhenUsed/>
    <w:rsid w:val="007663FF"/>
    <w:rPr>
      <w:color w:val="0000FF" w:themeColor="hyperlink"/>
      <w:u w:val="single"/>
    </w:rPr>
  </w:style>
  <w:style w:type="character" w:styleId="CommentReference">
    <w:name w:val="annotation reference"/>
    <w:basedOn w:val="DefaultParagraphFont"/>
    <w:uiPriority w:val="99"/>
    <w:semiHidden/>
    <w:unhideWhenUsed/>
    <w:rsid w:val="000C6E5E"/>
    <w:rPr>
      <w:sz w:val="16"/>
      <w:szCs w:val="16"/>
    </w:rPr>
  </w:style>
  <w:style w:type="paragraph" w:styleId="CommentText">
    <w:name w:val="annotation text"/>
    <w:basedOn w:val="Normal"/>
    <w:link w:val="CommentTextChar"/>
    <w:uiPriority w:val="99"/>
    <w:semiHidden/>
    <w:unhideWhenUsed/>
    <w:rsid w:val="000C6E5E"/>
    <w:rPr>
      <w:sz w:val="20"/>
      <w:szCs w:val="20"/>
    </w:rPr>
  </w:style>
  <w:style w:type="character" w:customStyle="1" w:styleId="CommentTextChar">
    <w:name w:val="Comment Text Char"/>
    <w:basedOn w:val="DefaultParagraphFont"/>
    <w:link w:val="CommentText"/>
    <w:uiPriority w:val="99"/>
    <w:semiHidden/>
    <w:rsid w:val="000C6E5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C6E5E"/>
    <w:rPr>
      <w:b/>
      <w:bCs/>
    </w:rPr>
  </w:style>
  <w:style w:type="character" w:customStyle="1" w:styleId="CommentSubjectChar">
    <w:name w:val="Comment Subject Char"/>
    <w:basedOn w:val="CommentTextChar"/>
    <w:link w:val="CommentSubject"/>
    <w:uiPriority w:val="99"/>
    <w:semiHidden/>
    <w:rsid w:val="000C6E5E"/>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0C6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5E"/>
    <w:rPr>
      <w:rFonts w:ascii="Segoe UI" w:eastAsia="Arial" w:hAnsi="Segoe UI" w:cs="Segoe UI"/>
      <w:sz w:val="18"/>
      <w:szCs w:val="18"/>
      <w:lang w:val="en-GB" w:eastAsia="en-GB" w:bidi="en-GB"/>
    </w:rPr>
  </w:style>
  <w:style w:type="table" w:styleId="TableGrid">
    <w:name w:val="Table Grid"/>
    <w:basedOn w:val="TableNormal"/>
    <w:uiPriority w:val="59"/>
    <w:rsid w:val="003B008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d01af8-568b-4240-9ff0-60a86e0f489e" xsi:nil="true"/>
    <_ip_UnifiedCompliancePolicyUIAction xmlns="http://schemas.microsoft.com/sharepoint/v3" xsi:nil="true"/>
    <TaxCatchAll xmlns="2910ae0d-d99b-43ae-b7eb-97dae584179d" xsi:nil="true"/>
    <_ip_UnifiedCompliancePolicyProperties xmlns="http://schemas.microsoft.com/sharepoint/v3" xsi:nil="true"/>
    <lcf76f155ced4ddcb4097134ff3c332f xmlns="26d01af8-568b-4240-9ff0-60a86e0f48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510305B8EAC49AD5BE925EE3A95EF" ma:contentTypeVersion="19" ma:contentTypeDescription="Create a new document." ma:contentTypeScope="" ma:versionID="1913cfe882426f0bef5fe0b78aeaeb75">
  <xsd:schema xmlns:xsd="http://www.w3.org/2001/XMLSchema" xmlns:xs="http://www.w3.org/2001/XMLSchema" xmlns:p="http://schemas.microsoft.com/office/2006/metadata/properties" xmlns:ns1="http://schemas.microsoft.com/sharepoint/v3" xmlns:ns2="2910ae0d-d99b-43ae-b7eb-97dae584179d" xmlns:ns3="26d01af8-568b-4240-9ff0-60a86e0f489e" targetNamespace="http://schemas.microsoft.com/office/2006/metadata/properties" ma:root="true" ma:fieldsID="1f48dd158b03dc88cc944f50caaf8a51" ns1:_="" ns2:_="" ns3:_="">
    <xsd:import namespace="http://schemas.microsoft.com/sharepoint/v3"/>
    <xsd:import namespace="2910ae0d-d99b-43ae-b7eb-97dae584179d"/>
    <xsd:import namespace="26d01af8-568b-4240-9ff0-60a86e0f4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1:_ip_UnifiedCompliancePolicyProperties" minOccurs="0"/>
                <xsd:element ref="ns1:_ip_UnifiedCompliancePolicyUIActio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ea97f40-fef8-4a94-96f7-d65f1877b13a}" ma:internalName="TaxCatchAll" ma:showField="CatchAllData" ma:web="2910ae0d-d99b-43ae-b7eb-97dae58417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d01af8-568b-4240-9ff0-60a86e0f48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7536A-C3B8-40E3-A62E-D5452B9CCCFF}">
  <ds:schemaRefs>
    <ds:schemaRef ds:uri="26d01af8-568b-4240-9ff0-60a86e0f489e"/>
    <ds:schemaRef ds:uri="http://schemas.microsoft.com/office/2006/documentManagement/types"/>
    <ds:schemaRef ds:uri="http://purl.org/dc/elements/1.1/"/>
    <ds:schemaRef ds:uri="http://www.w3.org/XML/1998/namespace"/>
    <ds:schemaRef ds:uri="http://schemas.microsoft.com/sharepoint/v3"/>
    <ds:schemaRef ds:uri="http://schemas.openxmlformats.org/package/2006/metadata/core-properties"/>
    <ds:schemaRef ds:uri="http://schemas.microsoft.com/office/2006/metadata/properties"/>
    <ds:schemaRef ds:uri="2910ae0d-d99b-43ae-b7eb-97dae584179d"/>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BBB9213-3D07-4AE8-B52A-50993E344AC9}">
  <ds:schemaRefs>
    <ds:schemaRef ds:uri="http://schemas.microsoft.com/sharepoint/v3/contenttype/forms"/>
  </ds:schemaRefs>
</ds:datastoreItem>
</file>

<file path=customXml/itemProps3.xml><?xml version="1.0" encoding="utf-8"?>
<ds:datastoreItem xmlns:ds="http://schemas.openxmlformats.org/officeDocument/2006/customXml" ds:itemID="{025206A3-1168-4AFC-8E6E-AEE6CEA93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10ae0d-d99b-43ae-b7eb-97dae584179d"/>
    <ds:schemaRef ds:uri="26d01af8-568b-4240-9ff0-60a86e0f4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Gray</dc:creator>
  <cp:lastModifiedBy>Gordon Kay</cp:lastModifiedBy>
  <cp:revision>2</cp:revision>
  <cp:lastPrinted>2019-06-25T10:41:00Z</cp:lastPrinted>
  <dcterms:created xsi:type="dcterms:W3CDTF">2022-09-26T13:56:00Z</dcterms:created>
  <dcterms:modified xsi:type="dcterms:W3CDTF">2022-09-26T13:56:00Z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Adobe InDesign CC 13.1 (Macintosh)</vt:lpwstr>
  </property>
  <property fmtid="{D5CDD505-2E9C-101B-9397-08002B2CF9AE}" pid="4" name="LastSaved">
    <vt:filetime>2018-06-12T00:00:00Z</vt:filetime>
  </property>
  <property fmtid="{D5CDD505-2E9C-101B-9397-08002B2CF9AE}" pid="5" name="ContentTypeId">
    <vt:lpwstr>0x0101002D4510305B8EAC49AD5BE925EE3A95EF</vt:lpwstr>
  </property>
  <property fmtid="{D5CDD505-2E9C-101B-9397-08002B2CF9AE}" pid="6" name="Order">
    <vt:r8>2363400</vt:r8>
  </property>
</Properties>
</file>